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numbering.xml" ContentType="application/vnd.openxmlformats-officedocument.wordprocessingml.numbering+xml"/>
  <Override PartName="/word/footer3.xml" ContentType="application/vnd.openxmlformats-officedocument.wordprocessingml.footer+xml"/>
  <Override PartName="/customXml/item1.xml" ContentType="application/xml"/>
  <Override PartName="/customXml/itemProps1.xml" ContentType="application/vnd.openxmlformats-officedocument.customXmlProperties+xml"/>
  <Override PartName="/customXml/_rels/item2.xml.rels" ContentType="application/vnd.openxmlformats-package.relationships+xml"/>
  <Override PartName="/customXml/_rels/item1.xml.rels" ContentType="application/vnd.openxmlformats-package.relationships+xml"/>
  <Override PartName="/customXml/item2.xml" ContentType="application/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FP"/>
        <w:tabs>
          <w:tab w:val="left" w:pos="567" w:leader="none"/>
        </w:tabs>
        <w:rPr>
          <w:rFonts w:ascii="Arial" w:hAnsi="Arial" w:cs="Arial"/>
          <w:b/>
          <w:sz w:val="24"/>
          <w:szCs w:val="24"/>
          <w:lang w:eastAsia="ja-JP"/>
        </w:rPr>
      </w:pPr>
      <w:r>
        <w:rPr>
          <w:rFonts w:cs="Arial" w:ascii="Arial" w:hAnsi="Arial"/>
          <w:b/>
          <w:sz w:val="24"/>
          <w:szCs w:val="24"/>
        </w:rPr>
        <w:t>3GPP TSG RAN meeting #10</w:t>
      </w:r>
      <w:r>
        <w:rPr>
          <w:rFonts w:cs="Arial" w:ascii="Arial" w:hAnsi="Arial"/>
          <w:b/>
          <w:sz w:val="24"/>
          <w:szCs w:val="24"/>
        </w:rPr>
        <w:t>6</w:t>
      </w:r>
      <w:r>
        <w:rPr>
          <w:rFonts w:cs="Arial" w:ascii="Arial" w:hAnsi="Arial"/>
          <w:b/>
          <w:sz w:val="24"/>
          <w:szCs w:val="24"/>
        </w:rPr>
        <w:tab/>
        <w:tab/>
        <w:tab/>
        <w:tab/>
        <w:tab/>
        <w:tab/>
        <w:tab/>
        <w:tab/>
        <w:tab/>
        <w:tab/>
        <w:t>RP-24</w:t>
      </w:r>
      <w:r>
        <w:rPr>
          <w:rFonts w:cs="Arial" w:ascii="Arial" w:hAnsi="Arial"/>
          <w:b/>
          <w:sz w:val="24"/>
          <w:szCs w:val="24"/>
        </w:rPr>
        <w:t>2601</w:t>
      </w:r>
    </w:p>
    <w:p>
      <w:pPr>
        <w:pStyle w:val="Normal"/>
        <w:tabs>
          <w:tab w:val="left" w:pos="567" w:leader="none"/>
        </w:tabs>
        <w:rPr>
          <w:rFonts w:ascii="Arial" w:hAnsi="Arial" w:cs="Arial"/>
          <w:b/>
          <w:sz w:val="24"/>
        </w:rPr>
      </w:pPr>
      <w:r>
        <w:rPr>
          <w:rFonts w:cs="Arial" w:ascii="Arial" w:hAnsi="Arial"/>
          <w:b/>
          <w:sz w:val="24"/>
        </w:rPr>
        <w:t>M</w:t>
      </w:r>
      <w:r>
        <w:rPr>
          <w:rFonts w:cs="Arial" w:ascii="Arial" w:hAnsi="Arial"/>
          <w:b/>
          <w:sz w:val="24"/>
        </w:rPr>
        <w:t>adrid</w:t>
      </w:r>
      <w:r>
        <w:rPr>
          <w:rFonts w:cs="Arial" w:ascii="Arial" w:hAnsi="Arial"/>
          <w:b/>
          <w:sz w:val="24"/>
        </w:rPr>
        <w:t xml:space="preserve">, </w:t>
      </w:r>
      <w:r>
        <w:rPr>
          <w:rFonts w:cs="Arial" w:ascii="Arial" w:hAnsi="Arial"/>
          <w:b/>
          <w:sz w:val="24"/>
        </w:rPr>
        <w:t>Spain</w:t>
      </w:r>
      <w:r>
        <w:rPr>
          <w:rFonts w:cs="Arial" w:ascii="Arial" w:hAnsi="Arial"/>
          <w:b/>
          <w:sz w:val="24"/>
        </w:rPr>
        <w:t xml:space="preserve">, </w:t>
      </w:r>
      <w:r>
        <w:rPr>
          <w:rFonts w:cs="Arial" w:ascii="Arial" w:hAnsi="Arial"/>
          <w:b/>
          <w:sz w:val="24"/>
        </w:rPr>
        <w:t>December</w:t>
      </w:r>
      <w:r>
        <w:rPr>
          <w:rFonts w:cs="Arial" w:ascii="Arial" w:hAnsi="Arial"/>
          <w:b/>
          <w:sz w:val="24"/>
        </w:rPr>
        <w:t xml:space="preserve"> 9-12, 2024</w:t>
      </w:r>
    </w:p>
    <w:p>
      <w:pPr>
        <w:pStyle w:val="Heading2"/>
        <w:jc w:val="center"/>
        <w:rPr>
          <w:u w:val="single"/>
        </w:rPr>
      </w:pPr>
      <w:r>
        <w:rPr>
          <w:u w:val="single"/>
        </w:rPr>
        <w:t>Status Report to TSG</w:t>
      </w:r>
    </w:p>
    <w:p>
      <w:pPr>
        <w:pStyle w:val="Normal"/>
        <w:tabs>
          <w:tab w:val="left" w:pos="567" w:leader="none"/>
        </w:tabs>
        <w:rPr>
          <w:rFonts w:ascii="Arial" w:hAnsi="Arial" w:cs="Arial"/>
          <w:lang w:eastAsia="ja-JP"/>
        </w:rPr>
      </w:pPr>
      <w:r>
        <w:rPr>
          <w:rFonts w:cs="Arial" w:ascii="Arial" w:hAnsi="Arial"/>
          <w:b/>
        </w:rPr>
        <w:t>Agenda item:</w:t>
      </w:r>
      <w:r>
        <w:rPr>
          <w:rFonts w:cs="Arial" w:ascii="Arial" w:hAnsi="Arial"/>
        </w:rPr>
        <w:tab/>
        <w:tab/>
        <w:tab/>
      </w:r>
      <w:r>
        <w:rPr>
          <w:rFonts w:cs="Arial" w:ascii="Arial" w:hAnsi="Arial"/>
          <w:color w:val="FF0000"/>
          <w:lang w:eastAsia="ja-JP"/>
        </w:rPr>
        <w:t>9.4.1.5</w:t>
      </w:r>
    </w:p>
    <w:tbl>
      <w:tblPr>
        <w:tblW w:w="10086" w:type="dxa"/>
        <w:jc w:val="left"/>
        <w:tblInd w:w="221" w:type="dxa"/>
        <w:tblLayout w:type="fixed"/>
        <w:tblCellMar>
          <w:top w:w="0" w:type="dxa"/>
          <w:left w:w="108" w:type="dxa"/>
          <w:bottom w:w="0" w:type="dxa"/>
          <w:right w:w="108" w:type="dxa"/>
        </w:tblCellMar>
        <w:tblLook w:val="01e0" w:noVBand="0" w:noHBand="0" w:lastColumn="1" w:firstColumn="1" w:lastRow="1" w:firstRow="1"/>
      </w:tblPr>
      <w:tblGrid>
        <w:gridCol w:w="2435"/>
        <w:gridCol w:w="1846"/>
        <w:gridCol w:w="1843"/>
        <w:gridCol w:w="2267"/>
        <w:gridCol w:w="41"/>
        <w:gridCol w:w="1654"/>
      </w:tblGrid>
      <w:tr>
        <w:trPr/>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left" w:pos="567" w:leader="none"/>
              </w:tabs>
              <w:spacing w:before="0" w:after="0"/>
              <w:rPr>
                <w:rFonts w:ascii="Arial" w:hAnsi="Arial" w:cs="Arial"/>
                <w:b/>
              </w:rPr>
            </w:pPr>
            <w:r>
              <w:rPr>
                <w:rFonts w:cs="Arial" w:ascii="Arial" w:hAnsi="Arial"/>
                <w:b/>
              </w:rPr>
              <w:t>WI Name</w:t>
            </w:r>
          </w:p>
        </w:tc>
        <w:tc>
          <w:tcPr>
            <w:tcW w:w="7651" w:type="dxa"/>
            <w:gridSpan w:val="5"/>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rPr>
            </w:pPr>
            <w:r>
              <w:rPr>
                <w:rFonts w:cs="Arial" w:ascii="Arial" w:hAnsi="Arial"/>
              </w:rPr>
              <w:t>Introduction of new NR NTN bands to support the Extended L-band (UL 1668-1675MHz, DL 1518-1525MHz) and the combined MSS L-band and Extended L-band ranges (DL 1518-1559 MHz, UL 1626.5-1660.5 MHz and 1668-1675 MHz)</w:t>
            </w:r>
          </w:p>
        </w:tc>
      </w:tr>
      <w:tr>
        <w:trPr/>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left" w:pos="567" w:leader="none"/>
              </w:tabs>
              <w:spacing w:before="0" w:after="0"/>
              <w:rPr>
                <w:rFonts w:ascii="Arial" w:hAnsi="Arial" w:cs="Arial"/>
                <w:bCs/>
              </w:rPr>
            </w:pPr>
            <w:r>
              <w:rPr>
                <w:rFonts w:cs="Arial" w:ascii="Arial" w:hAnsi="Arial"/>
                <w:bCs/>
              </w:rPr>
              <w:t>included in this status report</w:t>
            </w:r>
          </w:p>
        </w:tc>
        <w:tc>
          <w:tcPr>
            <w:tcW w:w="1846"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color w:val="FF0000"/>
                <w:lang w:eastAsia="ja-JP"/>
              </w:rPr>
            </w:pPr>
            <w:r>
              <w:rPr>
                <w:rFonts w:cs="Arial" w:ascii="Arial" w:hAnsi="Arial"/>
              </w:rPr>
              <w:t>Study Item:</w:t>
            </w:r>
            <w:r>
              <w:rPr>
                <w:rFonts w:cs="Arial" w:ascii="Arial" w:hAnsi="Arial"/>
                <w:color w:val="FF0000"/>
                <w:lang w:eastAsia="ja-JP"/>
              </w:rPr>
              <w:t xml:space="preserve"> </w:t>
            </w:r>
          </w:p>
          <w:p>
            <w:pPr>
              <w:pStyle w:val="Normal"/>
              <w:tabs>
                <w:tab w:val="left" w:pos="567" w:leader="none"/>
              </w:tabs>
              <w:spacing w:before="0" w:after="0"/>
              <w:rPr>
                <w:rFonts w:ascii="Arial" w:hAnsi="Arial" w:cs="Arial"/>
              </w:rPr>
            </w:pPr>
            <w:r>
              <w:rPr>
                <w:rFonts w:cs="Arial" w:ascii="Arial" w:hAnsi="Arial"/>
                <w:color w:val="FF0000"/>
                <w:lang w:eastAsia="ja-JP"/>
              </w:rPr>
              <w:t>No</w:t>
            </w:r>
          </w:p>
        </w:tc>
        <w:tc>
          <w:tcPr>
            <w:tcW w:w="1843"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color w:val="FF0000"/>
                <w:lang w:eastAsia="ja-JP"/>
              </w:rPr>
            </w:pPr>
            <w:r>
              <w:rPr>
                <w:rFonts w:cs="Arial" w:ascii="Arial" w:hAnsi="Arial"/>
              </w:rPr>
              <w:t>Core part:</w:t>
            </w:r>
            <w:r>
              <w:rPr>
                <w:rFonts w:cs="Arial" w:ascii="Arial" w:hAnsi="Arial"/>
                <w:color w:val="FF0000"/>
                <w:lang w:eastAsia="ja-JP"/>
              </w:rPr>
              <w:t xml:space="preserve"> </w:t>
            </w:r>
          </w:p>
          <w:p>
            <w:pPr>
              <w:pStyle w:val="Normal"/>
              <w:tabs>
                <w:tab w:val="left" w:pos="567" w:leader="none"/>
              </w:tabs>
              <w:spacing w:before="0" w:after="0"/>
              <w:rPr>
                <w:rFonts w:ascii="Arial" w:hAnsi="Arial" w:cs="Arial"/>
                <w:color w:val="FF0000"/>
                <w:lang w:eastAsia="ja-JP"/>
              </w:rPr>
            </w:pPr>
            <w:r>
              <w:rPr>
                <w:rFonts w:cs="Arial" w:ascii="Arial" w:hAnsi="Arial"/>
                <w:color w:val="FF0000"/>
                <w:lang w:eastAsia="ja-JP"/>
              </w:rPr>
              <w:t>Yes</w:t>
            </w:r>
          </w:p>
        </w:tc>
        <w:tc>
          <w:tcPr>
            <w:tcW w:w="2308" w:type="dxa"/>
            <w:gridSpan w:val="2"/>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rPr>
            </w:pPr>
            <w:r>
              <w:rPr>
                <w:rFonts w:cs="Arial" w:ascii="Arial" w:hAnsi="Arial"/>
              </w:rPr>
              <w:t>Performance part:</w:t>
            </w:r>
          </w:p>
          <w:p>
            <w:pPr>
              <w:pStyle w:val="Normal"/>
              <w:tabs>
                <w:tab w:val="left" w:pos="567" w:leader="none"/>
              </w:tabs>
              <w:spacing w:before="0" w:after="0"/>
              <w:rPr>
                <w:rFonts w:ascii="Arial" w:hAnsi="Arial" w:cs="Arial"/>
                <w:color w:val="FF0000"/>
                <w:lang w:eastAsia="ja-JP"/>
              </w:rPr>
            </w:pPr>
            <w:r>
              <w:rPr>
                <w:rFonts w:cs="Arial" w:ascii="Arial" w:hAnsi="Arial"/>
                <w:color w:val="FF0000"/>
                <w:lang w:eastAsia="ja-JP"/>
              </w:rPr>
              <w:t>Yes</w:t>
            </w:r>
          </w:p>
        </w:tc>
        <w:tc>
          <w:tcPr>
            <w:tcW w:w="1654"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rPr>
            </w:pPr>
            <w:r>
              <w:rPr>
                <w:rFonts w:cs="Arial" w:ascii="Arial" w:hAnsi="Arial"/>
              </w:rPr>
              <w:t>Testing part:</w:t>
            </w:r>
          </w:p>
          <w:p>
            <w:pPr>
              <w:pStyle w:val="Normal"/>
              <w:tabs>
                <w:tab w:val="left" w:pos="567" w:leader="none"/>
              </w:tabs>
              <w:spacing w:before="0" w:after="0"/>
              <w:rPr>
                <w:rFonts w:ascii="Arial" w:hAnsi="Arial" w:cs="Arial"/>
                <w:color w:val="FF0000"/>
                <w:lang w:eastAsia="ja-JP"/>
              </w:rPr>
            </w:pPr>
            <w:r>
              <w:rPr>
                <w:rFonts w:cs="Arial" w:ascii="Arial" w:hAnsi="Arial"/>
                <w:color w:val="FF0000"/>
                <w:lang w:eastAsia="ja-JP"/>
              </w:rPr>
              <w:t>No</w:t>
            </w:r>
          </w:p>
        </w:tc>
      </w:tr>
      <w:tr>
        <w:trPr/>
        <w:tc>
          <w:tcPr>
            <w:tcW w:w="2435"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Acronym</w:t>
            </w:r>
          </w:p>
        </w:tc>
        <w:tc>
          <w:tcPr>
            <w:tcW w:w="7651" w:type="dxa"/>
            <w:gridSpan w:val="5"/>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rPr>
            </w:pPr>
            <w:r>
              <w:rPr>
                <w:rFonts w:cs="Arial" w:ascii="Arial" w:hAnsi="Arial"/>
              </w:rPr>
              <w:t>NR_NTN_combinedLband</w:t>
            </w:r>
          </w:p>
        </w:tc>
      </w:tr>
      <w:tr>
        <w:trPr/>
        <w:tc>
          <w:tcPr>
            <w:tcW w:w="2435"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Unique ID</w:t>
            </w:r>
          </w:p>
        </w:tc>
        <w:tc>
          <w:tcPr>
            <w:tcW w:w="7651" w:type="dxa"/>
            <w:gridSpan w:val="5"/>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1040134</w:t>
            </w:r>
          </w:p>
        </w:tc>
      </w:tr>
      <w:tr>
        <w:trPr/>
        <w:tc>
          <w:tcPr>
            <w:tcW w:w="2435"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TSG Tdoc of latest approved WI/SI description (if any)</w:t>
            </w:r>
          </w:p>
        </w:tc>
        <w:tc>
          <w:tcPr>
            <w:tcW w:w="7651" w:type="dxa"/>
            <w:gridSpan w:val="5"/>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RP-241</w:t>
            </w:r>
            <w:r>
              <w:rPr>
                <w:rFonts w:cs="Arial" w:ascii="Arial" w:hAnsi="Arial"/>
                <w:lang w:eastAsia="ja-JP"/>
              </w:rPr>
              <w:t>856</w:t>
            </w:r>
            <w:r>
              <w:rPr>
                <w:rFonts w:cs="Arial" w:ascii="Arial" w:hAnsi="Arial"/>
                <w:lang w:eastAsia="ja-JP"/>
              </w:rPr>
              <w:tab/>
            </w:r>
          </w:p>
        </w:tc>
      </w:tr>
      <w:tr>
        <w:trPr/>
        <w:tc>
          <w:tcPr>
            <w:tcW w:w="2435"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Target Completion Date</w:t>
            </w:r>
          </w:p>
          <w:p>
            <w:pPr>
              <w:pStyle w:val="Normal"/>
              <w:tabs>
                <w:tab w:val="left" w:pos="567" w:leader="none"/>
              </w:tabs>
              <w:spacing w:before="0" w:after="0"/>
              <w:rPr>
                <w:rFonts w:ascii="Arial" w:hAnsi="Arial" w:cs="Arial"/>
                <w:b/>
              </w:rPr>
            </w:pPr>
            <w:r>
              <w:rPr>
                <w:rFonts w:cs="Arial" w:ascii="Arial" w:hAnsi="Arial"/>
                <w:b/>
              </w:rPr>
              <w:t>(indicate if changed)</w:t>
            </w:r>
          </w:p>
        </w:tc>
        <w:tc>
          <w:tcPr>
            <w:tcW w:w="1846"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 xml:space="preserve">Study Item: </w:t>
            </w:r>
          </w:p>
          <w:p>
            <w:pPr>
              <w:pStyle w:val="Normal"/>
              <w:tabs>
                <w:tab w:val="left" w:pos="567" w:leader="none"/>
              </w:tabs>
              <w:spacing w:before="0" w:after="0"/>
              <w:rPr>
                <w:rFonts w:ascii="Arial" w:hAnsi="Arial" w:cs="Arial"/>
                <w:lang w:eastAsia="ja-JP"/>
              </w:rPr>
            </w:pPr>
            <w:r>
              <w:rPr>
                <w:rFonts w:cs="Arial" w:ascii="Arial" w:hAnsi="Arial"/>
                <w:color w:themeColor="background1" w:themeShade="80" w:val="808080"/>
                <w:lang w:eastAsia="ja-JP"/>
              </w:rPr>
              <w:t>N/A</w:t>
            </w:r>
          </w:p>
        </w:tc>
        <w:tc>
          <w:tcPr>
            <w:tcW w:w="1843"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 xml:space="preserve">Core part: </w:t>
            </w:r>
            <w:r>
              <w:rPr>
                <w:rFonts w:cs="Arial" w:ascii="Arial" w:hAnsi="Arial"/>
                <w:color w:val="00B050"/>
                <w:lang w:eastAsia="ja-JP"/>
              </w:rPr>
              <w:t>03/2025</w:t>
            </w:r>
          </w:p>
        </w:tc>
        <w:tc>
          <w:tcPr>
            <w:tcW w:w="2267"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 xml:space="preserve">Performance part: </w:t>
            </w:r>
            <w:r>
              <w:rPr>
                <w:rFonts w:cs="Arial" w:ascii="Arial" w:hAnsi="Arial"/>
                <w:color w:val="00B050"/>
                <w:lang w:eastAsia="ja-JP"/>
              </w:rPr>
              <w:t>06/2025</w:t>
            </w:r>
          </w:p>
        </w:tc>
        <w:tc>
          <w:tcPr>
            <w:tcW w:w="1695" w:type="dxa"/>
            <w:gridSpan w:val="2"/>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highlight w:val="yellow"/>
                <w:lang w:eastAsia="ja-JP"/>
              </w:rPr>
            </w:pPr>
            <w:r>
              <w:rPr>
                <w:rFonts w:cs="Arial" w:ascii="Arial" w:hAnsi="Arial"/>
                <w:lang w:eastAsia="ja-JP"/>
              </w:rPr>
              <w:t xml:space="preserve">Testing part: </w:t>
            </w:r>
            <w:r>
              <w:rPr>
                <w:rFonts w:cs="Arial" w:ascii="Arial" w:hAnsi="Arial"/>
                <w:color w:themeColor="background1" w:themeShade="80" w:val="808080"/>
                <w:lang w:eastAsia="ja-JP"/>
              </w:rPr>
              <w:t>N/A</w:t>
            </w:r>
          </w:p>
        </w:tc>
      </w:tr>
      <w:tr>
        <w:trPr/>
        <w:tc>
          <w:tcPr>
            <w:tcW w:w="2435"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Overall Completion level</w:t>
            </w:r>
          </w:p>
        </w:tc>
        <w:tc>
          <w:tcPr>
            <w:tcW w:w="1846"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color w:val="FF0000"/>
                <w:lang w:eastAsia="ja-JP"/>
              </w:rPr>
            </w:pPr>
            <w:r>
              <w:rPr>
                <w:rFonts w:cs="Arial" w:ascii="Arial" w:hAnsi="Arial"/>
                <w:color w:themeColor="text1" w:val="000000"/>
                <w:lang w:eastAsia="ja-JP"/>
              </w:rPr>
              <w:t>Study Item:</w:t>
            </w:r>
            <w:r>
              <w:rPr>
                <w:rFonts w:cs="Arial" w:ascii="Arial" w:hAnsi="Arial"/>
                <w:color w:val="FF0000"/>
                <w:lang w:eastAsia="ja-JP"/>
              </w:rPr>
              <w:t xml:space="preserve"> </w:t>
            </w:r>
          </w:p>
          <w:p>
            <w:pPr>
              <w:pStyle w:val="Normal"/>
              <w:tabs>
                <w:tab w:val="left" w:pos="567" w:leader="none"/>
              </w:tabs>
              <w:spacing w:before="0" w:after="0"/>
              <w:rPr>
                <w:rFonts w:ascii="Arial" w:hAnsi="Arial" w:cs="Arial"/>
                <w:lang w:eastAsia="ja-JP"/>
              </w:rPr>
            </w:pPr>
            <w:r>
              <w:rPr>
                <w:rFonts w:cs="Arial" w:ascii="Arial" w:hAnsi="Arial"/>
                <w:color w:themeColor="background1" w:themeShade="80" w:val="808080"/>
                <w:lang w:eastAsia="ja-JP"/>
              </w:rPr>
              <w:t>N/A</w:t>
            </w:r>
          </w:p>
        </w:tc>
        <w:tc>
          <w:tcPr>
            <w:tcW w:w="1843"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 xml:space="preserve">Core part: </w:t>
            </w:r>
          </w:p>
          <w:p>
            <w:pPr>
              <w:pStyle w:val="Normal"/>
              <w:tabs>
                <w:tab w:val="left" w:pos="567" w:leader="none"/>
              </w:tabs>
              <w:spacing w:before="0" w:after="0"/>
              <w:rPr>
                <w:rFonts w:ascii="Arial" w:hAnsi="Arial" w:cs="Arial"/>
                <w:lang w:eastAsia="ja-JP"/>
              </w:rPr>
            </w:pPr>
            <w:r>
              <w:rPr>
                <w:rFonts w:cs="Arial" w:ascii="Arial" w:hAnsi="Arial"/>
                <w:color w:val="00B050"/>
                <w:lang w:eastAsia="ja-JP"/>
              </w:rPr>
              <w:t>35</w:t>
            </w:r>
            <w:r>
              <w:rPr>
                <w:rFonts w:cs="Arial" w:ascii="Arial" w:hAnsi="Arial"/>
                <w:color w:val="00B050"/>
                <w:lang w:eastAsia="ja-JP"/>
              </w:rPr>
              <w:t>%</w:t>
            </w:r>
          </w:p>
        </w:tc>
        <w:tc>
          <w:tcPr>
            <w:tcW w:w="2267"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 xml:space="preserve">Performance Part: </w:t>
            </w:r>
          </w:p>
          <w:p>
            <w:pPr>
              <w:pStyle w:val="Normal"/>
              <w:tabs>
                <w:tab w:val="left" w:pos="567" w:leader="none"/>
              </w:tabs>
              <w:spacing w:before="0" w:after="0"/>
              <w:rPr>
                <w:rFonts w:ascii="Arial" w:hAnsi="Arial" w:cs="Arial"/>
                <w:lang w:eastAsia="ja-JP"/>
              </w:rPr>
            </w:pPr>
            <w:r>
              <w:rPr>
                <w:rFonts w:cs="Arial" w:ascii="Arial" w:hAnsi="Arial"/>
                <w:color w:val="00B050"/>
                <w:lang w:eastAsia="ja-JP"/>
              </w:rPr>
              <w:t>0%</w:t>
            </w:r>
          </w:p>
        </w:tc>
        <w:tc>
          <w:tcPr>
            <w:tcW w:w="1695" w:type="dxa"/>
            <w:gridSpan w:val="2"/>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highlight w:val="yellow"/>
                <w:lang w:eastAsia="ja-JP"/>
              </w:rPr>
            </w:pPr>
            <w:r>
              <w:rPr>
                <w:rFonts w:cs="Arial" w:ascii="Arial" w:hAnsi="Arial"/>
                <w:lang w:eastAsia="ja-JP"/>
              </w:rPr>
              <w:t xml:space="preserve">Testing part: </w:t>
            </w:r>
            <w:r>
              <w:rPr>
                <w:rFonts w:cs="Arial" w:ascii="Arial" w:hAnsi="Arial"/>
                <w:color w:themeColor="background1" w:themeShade="80" w:val="808080"/>
                <w:lang w:eastAsia="ja-JP"/>
              </w:rPr>
              <w:t>N/A</w:t>
            </w:r>
          </w:p>
        </w:tc>
      </w:tr>
    </w:tbl>
    <w:p>
      <w:pPr>
        <w:pStyle w:val="Normal"/>
        <w:tabs>
          <w:tab w:val="left" w:pos="567" w:leader="none"/>
        </w:tabs>
        <w:spacing w:before="0" w:after="0"/>
        <w:rPr>
          <w:rFonts w:ascii="Arial" w:hAnsi="Arial" w:cs="Arial"/>
        </w:rPr>
      </w:pPr>
      <w:r>
        <w:rPr>
          <w:rFonts w:cs="Arial" w:ascii="Arial" w:hAnsi="Arial"/>
        </w:rPr>
        <w:t>Note: Overall completion level percentage numbers should use one of the colors below:</w:t>
      </w:r>
    </w:p>
    <w:p>
      <w:pPr>
        <w:pStyle w:val="ListParagraph"/>
        <w:numPr>
          <w:ilvl w:val="0"/>
          <w:numId w:val="10"/>
        </w:numPr>
        <w:tabs>
          <w:tab w:val="left" w:pos="567" w:leader="none"/>
        </w:tabs>
        <w:rPr>
          <w:rFonts w:ascii="Arial" w:hAnsi="Arial" w:cs="Arial"/>
          <w:color w:val="00B050"/>
        </w:rPr>
      </w:pPr>
      <w:r>
        <w:rPr>
          <w:rFonts w:cs="Arial" w:ascii="Arial" w:hAnsi="Arial"/>
          <w:color w:val="00B050"/>
        </w:rPr>
        <w:t>xx%</w:t>
      </w:r>
      <w:r>
        <w:rPr>
          <w:rFonts w:cs="Arial" w:ascii="Arial" w:hAnsi="Arial"/>
        </w:rPr>
        <w:t xml:space="preserve">: </w:t>
      </w:r>
      <w:r>
        <w:rPr>
          <w:rFonts w:cs="Arial" w:ascii="Arial" w:hAnsi="Arial"/>
          <w:color w:val="00B050"/>
        </w:rPr>
        <w:t>Normal progress, no RAN plenary action needed</w:t>
      </w:r>
    </w:p>
    <w:p>
      <w:pPr>
        <w:pStyle w:val="ListParagraph"/>
        <w:numPr>
          <w:ilvl w:val="0"/>
          <w:numId w:val="10"/>
        </w:numPr>
        <w:tabs>
          <w:tab w:val="left" w:pos="567" w:leader="none"/>
        </w:tabs>
        <w:rPr>
          <w:rFonts w:ascii="Arial" w:hAnsi="Arial" w:cs="Arial"/>
          <w:color w:val="FF9201"/>
        </w:rPr>
      </w:pPr>
      <w:r>
        <w:rPr>
          <w:rFonts w:cs="Arial" w:ascii="Arial" w:hAnsi="Arial"/>
          <w:color w:val="FF9201"/>
        </w:rPr>
        <w:t>xx%: Progress behind schedule, may need RAN plenary intervention. If so, SR should clearly define requested action</w:t>
      </w:r>
    </w:p>
    <w:p>
      <w:pPr>
        <w:pStyle w:val="ListParagraph"/>
        <w:numPr>
          <w:ilvl w:val="0"/>
          <w:numId w:val="10"/>
        </w:numPr>
        <w:tabs>
          <w:tab w:val="left" w:pos="567" w:leader="none"/>
        </w:tabs>
        <w:rPr>
          <w:rFonts w:ascii="Arial" w:hAnsi="Arial" w:cs="Arial"/>
          <w:color w:val="FF0000"/>
        </w:rPr>
      </w:pPr>
      <w:r>
        <w:rPr>
          <w:rFonts w:cs="Arial" w:ascii="Arial" w:hAnsi="Arial"/>
          <w:color w:val="FF0000"/>
        </w:rPr>
        <w:t>xx%: Progress critically behind, RAN plenary shall intervene. SR should define requested action</w:t>
      </w:r>
    </w:p>
    <w:p>
      <w:pPr>
        <w:pStyle w:val="ListParagraph"/>
        <w:tabs>
          <w:tab w:val="left" w:pos="567" w:leader="none"/>
        </w:tabs>
        <w:ind w:left="924"/>
        <w:rPr>
          <w:rFonts w:ascii="Arial" w:hAnsi="Arial" w:cs="Arial"/>
          <w:color w:val="FF0000"/>
        </w:rPr>
      </w:pPr>
      <w:r>
        <w:rPr>
          <w:rFonts w:cs="Arial" w:ascii="Arial" w:hAnsi="Arial"/>
          <w:color w:val="FF0000"/>
        </w:rPr>
      </w:r>
    </w:p>
    <w:p>
      <w:pPr>
        <w:pStyle w:val="Normal"/>
        <w:tabs>
          <w:tab w:val="left" w:pos="567" w:leader="none"/>
        </w:tabs>
        <w:spacing w:before="0" w:after="60"/>
        <w:rPr>
          <w:rFonts w:ascii="Arial" w:hAnsi="Arial" w:cs="Arial"/>
          <w:b/>
        </w:rPr>
      </w:pPr>
      <w:r>
        <w:rPr>
          <w:rFonts w:cs="Arial" w:ascii="Arial" w:hAnsi="Arial"/>
          <w:b/>
        </w:rPr>
        <w:t>Source:</w:t>
      </w:r>
    </w:p>
    <w:tbl>
      <w:tblPr>
        <w:tblW w:w="10086" w:type="dxa"/>
        <w:jc w:val="left"/>
        <w:tblInd w:w="221" w:type="dxa"/>
        <w:tblLayout w:type="fixed"/>
        <w:tblCellMar>
          <w:top w:w="0" w:type="dxa"/>
          <w:left w:w="108" w:type="dxa"/>
          <w:bottom w:w="0" w:type="dxa"/>
          <w:right w:w="108" w:type="dxa"/>
        </w:tblCellMar>
        <w:tblLook w:val="01e0" w:noVBand="0" w:noHBand="0" w:lastColumn="1" w:firstColumn="1" w:lastRow="1" w:firstRow="1"/>
      </w:tblPr>
      <w:tblGrid>
        <w:gridCol w:w="1414"/>
        <w:gridCol w:w="1333"/>
        <w:gridCol w:w="7339"/>
      </w:tblGrid>
      <w:tr>
        <w:trPr/>
        <w:tc>
          <w:tcPr>
            <w:tcW w:w="2747" w:type="dxa"/>
            <w:gridSpan w:val="2"/>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Leading WG</w:t>
            </w:r>
          </w:p>
        </w:tc>
        <w:tc>
          <w:tcPr>
            <w:tcW w:w="7339"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color w:val="FF0000"/>
              </w:rPr>
            </w:pPr>
            <w:r>
              <w:rPr>
                <w:rFonts w:cs="Arial" w:ascii="Arial" w:hAnsi="Arial"/>
              </w:rPr>
              <w:t>RAN4</w:t>
            </w:r>
          </w:p>
        </w:tc>
      </w:tr>
      <w:tr>
        <w:trPr/>
        <w:tc>
          <w:tcPr>
            <w:tcW w:w="1414" w:type="dxa"/>
            <w:vMerge w:val="restart"/>
            <w:tcBorders>
              <w:top w:val="single" w:sz="4" w:space="0" w:color="000000"/>
              <w:left w:val="single" w:sz="4" w:space="0" w:color="000000"/>
              <w:bottom w:val="single" w:sz="4" w:space="0" w:color="000000"/>
              <w:right w:val="single" w:sz="4" w:space="0" w:color="000000"/>
            </w:tcBorders>
            <w:vAlign w:val="center"/>
          </w:tcPr>
          <w:p>
            <w:pPr>
              <w:pStyle w:val="Normal"/>
              <w:tabs>
                <w:tab w:val="left" w:pos="567" w:leader="none"/>
              </w:tabs>
              <w:spacing w:before="0" w:after="180"/>
              <w:rPr>
                <w:rFonts w:ascii="Arial" w:hAnsi="Arial" w:cs="Arial"/>
                <w:b/>
              </w:rPr>
            </w:pPr>
            <w:r>
              <w:rPr>
                <w:rFonts w:cs="Arial" w:ascii="Arial" w:hAnsi="Arial"/>
                <w:b/>
              </w:rPr>
              <w:t>Rapporteur</w:t>
            </w:r>
          </w:p>
        </w:tc>
        <w:tc>
          <w:tcPr>
            <w:tcW w:w="1333"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Name</w:t>
            </w:r>
          </w:p>
        </w:tc>
        <w:tc>
          <w:tcPr>
            <w:tcW w:w="7339"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Luca Lodigiani</w:t>
            </w:r>
          </w:p>
        </w:tc>
      </w:tr>
      <w:tr>
        <w:trPr/>
        <w:tc>
          <w:tcPr>
            <w:tcW w:w="1414" w:type="dxa"/>
            <w:vMerge w:val="continue"/>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180"/>
              <w:rPr>
                <w:rFonts w:ascii="Arial" w:hAnsi="Arial" w:cs="Arial"/>
                <w:b/>
              </w:rPr>
            </w:pPr>
            <w:r>
              <w:rPr>
                <w:rFonts w:cs="Arial" w:ascii="Arial" w:hAnsi="Arial"/>
                <w:b/>
              </w:rPr>
            </w:r>
          </w:p>
        </w:tc>
        <w:tc>
          <w:tcPr>
            <w:tcW w:w="1333"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Company</w:t>
            </w:r>
          </w:p>
        </w:tc>
        <w:tc>
          <w:tcPr>
            <w:tcW w:w="7339"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lang w:eastAsia="ja-JP"/>
              </w:rPr>
            </w:pPr>
            <w:r>
              <w:rPr>
                <w:rFonts w:cs="Arial" w:ascii="Arial" w:hAnsi="Arial"/>
                <w:lang w:eastAsia="ja-JP"/>
              </w:rPr>
              <w:t>Inmarsat</w:t>
            </w:r>
          </w:p>
        </w:tc>
      </w:tr>
      <w:tr>
        <w:trPr/>
        <w:tc>
          <w:tcPr>
            <w:tcW w:w="1414" w:type="dxa"/>
            <w:vMerge w:val="continue"/>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180"/>
              <w:rPr>
                <w:rFonts w:ascii="Arial" w:hAnsi="Arial" w:cs="Arial"/>
                <w:b/>
              </w:rPr>
            </w:pPr>
            <w:r>
              <w:rPr>
                <w:rFonts w:cs="Arial" w:ascii="Arial" w:hAnsi="Arial"/>
                <w:b/>
              </w:rPr>
            </w:r>
          </w:p>
        </w:tc>
        <w:tc>
          <w:tcPr>
            <w:tcW w:w="1333"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b/>
              </w:rPr>
            </w:pPr>
            <w:r>
              <w:rPr>
                <w:rFonts w:cs="Arial" w:ascii="Arial" w:hAnsi="Arial"/>
                <w:b/>
              </w:rPr>
              <w:t>Email</w:t>
            </w:r>
          </w:p>
        </w:tc>
        <w:tc>
          <w:tcPr>
            <w:tcW w:w="7339" w:type="dxa"/>
            <w:tcBorders>
              <w:top w:val="single" w:sz="4" w:space="0" w:color="000000"/>
              <w:left w:val="single" w:sz="4" w:space="0" w:color="000000"/>
              <w:bottom w:val="single" w:sz="4" w:space="0" w:color="000000"/>
              <w:right w:val="single" w:sz="4" w:space="0" w:color="000000"/>
            </w:tcBorders>
          </w:tcPr>
          <w:p>
            <w:pPr>
              <w:pStyle w:val="Normal"/>
              <w:tabs>
                <w:tab w:val="left" w:pos="567" w:leader="none"/>
              </w:tabs>
              <w:spacing w:before="0" w:after="0"/>
              <w:rPr>
                <w:rFonts w:ascii="Arial" w:hAnsi="Arial" w:cs="Arial"/>
              </w:rPr>
            </w:pPr>
            <w:r>
              <w:rPr>
                <w:rFonts w:cs="Arial" w:ascii="Arial" w:hAnsi="Arial"/>
              </w:rPr>
              <w:t>l.lodigiani@outlook.com</w:t>
            </w:r>
          </w:p>
        </w:tc>
      </w:tr>
    </w:tbl>
    <w:p>
      <w:pPr>
        <w:pStyle w:val="Normal"/>
        <w:pBdr>
          <w:bottom w:val="single" w:sz="4" w:space="1" w:color="000000"/>
        </w:pBdr>
        <w:spacing w:before="0" w:after="0"/>
        <w:rPr>
          <w:rFonts w:ascii="Arial" w:hAnsi="Arial" w:cs="Arial"/>
        </w:rPr>
      </w:pPr>
      <w:r>
        <w:rPr>
          <w:rFonts w:cs="Arial" w:ascii="Arial" w:hAnsi="Arial"/>
        </w:rPr>
      </w:r>
    </w:p>
    <w:p>
      <w:pPr>
        <w:pStyle w:val="Normal"/>
        <w:pBdr>
          <w:bottom w:val="single" w:sz="4" w:space="1" w:color="000000"/>
        </w:pBdr>
        <w:rPr>
          <w:rFonts w:ascii="Arial" w:hAnsi="Arial" w:cs="Arial"/>
        </w:rPr>
      </w:pPr>
      <w:r>
        <w:rPr>
          <w:rFonts w:cs="Arial" w:ascii="Arial" w:hAnsi="Arial"/>
        </w:rPr>
      </w:r>
    </w:p>
    <w:p>
      <w:pPr>
        <w:pStyle w:val="Heading2"/>
        <w:rPr/>
      </w:pPr>
      <w:r>
        <w:rPr/>
        <w:t>1</w:t>
        <w:tab/>
        <w:t>Work plan related evaluation</w:t>
      </w:r>
    </w:p>
    <w:tbl>
      <w:tblPr>
        <w:tblW w:w="7222" w:type="dxa"/>
        <w:jc w:val="center"/>
        <w:tblInd w:w="0" w:type="dxa"/>
        <w:tblLayout w:type="fixed"/>
        <w:tblCellMar>
          <w:top w:w="0" w:type="dxa"/>
          <w:left w:w="108" w:type="dxa"/>
          <w:bottom w:w="0" w:type="dxa"/>
          <w:right w:w="108" w:type="dxa"/>
        </w:tblCellMar>
        <w:tblLook w:val="01e0" w:noVBand="0" w:noHBand="0" w:lastColumn="1" w:firstColumn="1" w:lastRow="1" w:firstRow="1"/>
      </w:tblPr>
      <w:tblGrid>
        <w:gridCol w:w="6184"/>
        <w:gridCol w:w="1037"/>
      </w:tblGrid>
      <w:tr>
        <w:trPr/>
        <w:tc>
          <w:tcPr>
            <w:tcW w:w="6184" w:type="dxa"/>
            <w:tcBorders>
              <w:top w:val="single" w:sz="4" w:space="0" w:color="000000"/>
              <w:left w:val="single" w:sz="4" w:space="0" w:color="000000"/>
              <w:bottom w:val="single" w:sz="4" w:space="0" w:color="000000"/>
              <w:right w:val="single" w:sz="4" w:space="0" w:color="000000"/>
            </w:tcBorders>
            <w:shd w:color="auto" w:fill="E0E0E0" w:val="clear"/>
          </w:tcPr>
          <w:p>
            <w:pPr>
              <w:pStyle w:val="TAL"/>
              <w:jc w:val="center"/>
              <w:rPr>
                <w:b/>
                <w:bCs/>
              </w:rPr>
            </w:pPr>
            <w:r>
              <w:rPr>
                <w:b/>
                <w:bCs/>
              </w:rPr>
              <w:t>Do you want to modify the time budget for this WI/SI compared to what was endorsed at the last RAN meeting?</w:t>
            </w:r>
          </w:p>
        </w:tc>
        <w:tc>
          <w:tcPr>
            <w:tcW w:w="1037" w:type="dxa"/>
            <w:tcBorders>
              <w:top w:val="single" w:sz="4" w:space="0" w:color="000000"/>
              <w:left w:val="single" w:sz="4" w:space="0" w:color="000000"/>
              <w:bottom w:val="single" w:sz="4" w:space="0" w:color="000000"/>
              <w:right w:val="single" w:sz="4" w:space="0" w:color="000000"/>
            </w:tcBorders>
            <w:vAlign w:val="center"/>
          </w:tcPr>
          <w:p>
            <w:pPr>
              <w:pStyle w:val="TAL"/>
              <w:jc w:val="center"/>
              <w:rPr>
                <w:color w:val="FF0000"/>
                <w:lang w:eastAsia="ja-JP"/>
              </w:rPr>
            </w:pPr>
            <w:r>
              <w:rPr>
                <w:color w:val="FF0000"/>
                <w:lang w:eastAsia="ja-JP"/>
              </w:rPr>
              <w:t>No</w:t>
            </w:r>
          </w:p>
        </w:tc>
      </w:tr>
    </w:tbl>
    <w:p>
      <w:pPr>
        <w:pStyle w:val="Normal"/>
        <w:spacing w:before="0" w:after="0"/>
        <w:rPr>
          <w:rFonts w:ascii="Arial" w:hAnsi="Arial" w:cs="Arial"/>
        </w:rPr>
      </w:pPr>
      <w:r>
        <w:rPr>
          <w:rFonts w:cs="Arial" w:ascii="Arial" w:hAnsi="Arial"/>
        </w:rPr>
      </w:r>
    </w:p>
    <w:p>
      <w:pPr>
        <w:pStyle w:val="NO"/>
        <w:rPr>
          <w:rFonts w:ascii="Arial" w:hAnsi="Arial" w:cs="Arial"/>
          <w:i/>
          <w:i/>
        </w:rPr>
      </w:pPr>
      <w:r>
        <w:rPr>
          <w:rFonts w:cs="Arial" w:ascii="Arial" w:hAnsi="Arial"/>
          <w:i/>
        </w:rPr>
        <w:t>If you answered No:</w:t>
        <w:tab/>
        <w:t>Then please remove the Excel file from the zip file of this status report.</w:t>
      </w:r>
    </w:p>
    <w:p>
      <w:pPr>
        <w:pStyle w:val="Normal"/>
        <w:spacing w:before="0" w:after="0"/>
        <w:rPr>
          <w:rFonts w:ascii="Arial" w:hAnsi="Arial" w:cs="Arial"/>
          <w:b/>
        </w:rPr>
      </w:pPr>
      <w:r>
        <w:rPr>
          <w:rFonts w:cs="Arial" w:ascii="Arial" w:hAnsi="Arial"/>
          <w:b/>
        </w:rPr>
        <w:t>Additional explanations/motivations for the time budget changes in the attached Excel table:</w:t>
      </w:r>
    </w:p>
    <w:p>
      <w:pPr>
        <w:pStyle w:val="Normal"/>
        <w:spacing w:before="0" w:after="0"/>
        <w:rPr>
          <w:rFonts w:ascii="Arial" w:hAnsi="Arial" w:cs="Arial"/>
        </w:rPr>
      </w:pPr>
      <w:r>
        <w:rPr>
          <w:rFonts w:cs="Arial" w:ascii="Arial" w:hAnsi="Arial"/>
        </w:rPr>
      </w:r>
    </w:p>
    <w:p>
      <w:pPr>
        <w:pStyle w:val="Normal"/>
        <w:spacing w:before="0" w:after="0"/>
        <w:rPr>
          <w:rFonts w:ascii="Arial" w:hAnsi="Arial" w:cs="Arial"/>
        </w:rPr>
      </w:pPr>
      <w:r>
        <w:rPr>
          <w:rFonts w:cs="Arial" w:ascii="Arial" w:hAnsi="Arial"/>
        </w:rPr>
      </w:r>
    </w:p>
    <w:p>
      <w:pPr>
        <w:pStyle w:val="Heading2"/>
        <w:rPr/>
      </w:pPr>
      <w:r>
        <w:rPr/>
        <w:t>2.</w:t>
        <w:tab/>
        <w:t>Detailed progress in RAN WGs since last TSG meeting (for all involved WGs)</w:t>
      </w:r>
    </w:p>
    <w:p>
      <w:pPr>
        <w:pStyle w:val="Normal"/>
        <w:rPr>
          <w:rFonts w:ascii="Arial" w:hAnsi="Arial" w:cs="Arial"/>
        </w:rPr>
      </w:pPr>
      <w:r>
        <w:rPr/>
        <w:tab/>
      </w:r>
      <w:r>
        <w:rPr>
          <w:rFonts w:cs="Arial" w:ascii="Arial" w:hAnsi="Arial"/>
          <w:color w:val="FF0000"/>
        </w:rPr>
        <w:t>NOTE: Agreements and Open issues impacted cross-TSG aspects shall be explicitly highlighted</w:t>
      </w:r>
    </w:p>
    <w:p>
      <w:pPr>
        <w:pStyle w:val="Heading2"/>
        <w:rPr>
          <w:lang w:eastAsia="ja-JP"/>
        </w:rPr>
      </w:pPr>
      <w:r>
        <w:rPr>
          <w:lang w:eastAsia="ja-JP"/>
        </w:rPr>
        <w:t>2.4</w:t>
        <w:tab/>
        <w:t>RAN4</w:t>
      </w:r>
    </w:p>
    <w:p>
      <w:pPr>
        <w:pStyle w:val="Normal"/>
        <w:rPr>
          <w:lang w:eastAsia="ja-JP"/>
        </w:rPr>
      </w:pPr>
      <w:r>
        <w:rPr>
          <w:lang w:eastAsia="ja-JP"/>
        </w:rPr>
      </w:r>
    </w:p>
    <w:p>
      <w:pPr>
        <w:pStyle w:val="Heading3"/>
        <w:rPr/>
      </w:pPr>
      <w:r>
        <w:rPr>
          <w:lang w:eastAsia="ja-JP"/>
        </w:rPr>
        <w:t>2.4.1</w:t>
        <w:tab/>
        <w:t>Agreements after RAN4#112-</w:t>
      </w:r>
      <w:r>
        <w:rPr>
          <w:lang w:eastAsia="ja-JP"/>
        </w:rPr>
        <w:t>bis</w:t>
      </w:r>
    </w:p>
    <w:p>
      <w:pPr>
        <w:pStyle w:val="Normal"/>
        <w:rPr>
          <w:lang w:eastAsia="ja-JP"/>
        </w:rPr>
      </w:pPr>
      <w:r>
        <w:rPr/>
      </w:r>
    </w:p>
    <w:p>
      <w:pPr>
        <w:pStyle w:val="Heading4"/>
        <w:rPr/>
      </w:pPr>
      <w:r>
        <w:rPr/>
        <w:t>Sub-topic 3-1: General Aspects and Regulatory Input</w:t>
      </w:r>
    </w:p>
    <w:p>
      <w:pPr>
        <w:pStyle w:val="Normal"/>
        <w:spacing w:before="0" w:after="180"/>
        <w:rPr>
          <w:rFonts w:ascii="TimesNewRomanPS-ItalicMT" w:hAnsi="TimesNewRomanPS-ItalicMT"/>
          <w:i/>
          <w:i/>
          <w:color w:val="0B5AB2"/>
          <w:sz w:val="20"/>
          <w:u w:val="none"/>
        </w:rPr>
      </w:pPr>
      <w:r>
        <w:rPr>
          <w:rFonts w:ascii="TimesNewRomanPS-ItalicMT" w:hAnsi="TimesNewRomanPS-ItalicMT"/>
          <w:i/>
          <w:color w:val="0B5AB2"/>
          <w:sz w:val="20"/>
          <w:u w:val="none"/>
        </w:rPr>
        <w:t>Sub-topic description: Regulatory aspects</w:t>
      </w:r>
    </w:p>
    <w:p>
      <w:pPr>
        <w:pStyle w:val="Heading4"/>
        <w:rPr>
          <w:rFonts w:ascii="ArialMT" w:hAnsi="ArialMT"/>
          <w:i w:val="false"/>
          <w:i w:val="false"/>
          <w:color w:val="000000"/>
          <w:sz w:val="24"/>
          <w:u w:val="none"/>
        </w:rPr>
      </w:pPr>
      <w:r>
        <w:rPr/>
        <w:t xml:space="preserve">Issue 3-1-1: ETSI additional blocking Requirements </w:t>
      </w:r>
    </w:p>
    <w:p>
      <w:pPr>
        <w:pStyle w:val="Normal"/>
        <w:numPr>
          <w:ilvl w:val="0"/>
          <w:numId w:val="1"/>
        </w:numPr>
        <w:tabs>
          <w:tab w:val="clear" w:pos="567"/>
          <w:tab w:val="left" w:pos="360" w:leader="none"/>
          <w:tab w:val="left" w:pos="720" w:leader="none"/>
        </w:tabs>
        <w:spacing w:before="0" w:after="120"/>
        <w:ind w:hanging="720"/>
        <w:rPr>
          <w:rFonts w:ascii="TimesNewRomanPS-BoldMT" w:hAnsi="TimesNewRomanPS-BoldMT"/>
          <w:b/>
          <w:i w:val="false"/>
          <w:i w:val="false"/>
          <w:color w:val="0B5AB2"/>
          <w:sz w:val="20"/>
          <w:u w:val="none"/>
        </w:rPr>
      </w:pPr>
      <w:r>
        <w:rPr>
          <w:rFonts w:ascii="TimesNewRomanPS-BoldMT" w:hAnsi="TimesNewRomanPS-BoldMT"/>
          <w:b/>
          <w:i w:val="false"/>
          <w:color w:val="0B5AB2"/>
          <w:sz w:val="20"/>
          <w:u w:val="none"/>
        </w:rPr>
        <w:t>Agreement</w:t>
      </w:r>
    </w:p>
    <w:p>
      <w:pPr>
        <w:pStyle w:val="Normal"/>
        <w:numPr>
          <w:ilvl w:val="1"/>
          <w:numId w:val="1"/>
        </w:numPr>
        <w:tabs>
          <w:tab w:val="clear" w:pos="567"/>
          <w:tab w:val="left" w:pos="1080" w:leader="none"/>
          <w:tab w:val="left" w:pos="1440" w:leader="none"/>
        </w:tabs>
        <w:spacing w:before="0" w:after="120"/>
        <w:ind w:hanging="144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t>Further discuss whether and how the additional ETSI requirements for in-band/out-of-band blocking should be captured.</w:t>
      </w:r>
    </w:p>
    <w:p>
      <w:pPr>
        <w:pStyle w:val="Normal"/>
        <w:spacing w:before="0" w:after="12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r>
    </w:p>
    <w:p>
      <w:pPr>
        <w:pStyle w:val="Normal"/>
        <w:spacing w:before="0" w:after="12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r>
    </w:p>
    <w:p>
      <w:pPr>
        <w:pStyle w:val="Heading4"/>
        <w:rPr>
          <w:rFonts w:ascii="ArialMT" w:hAnsi="ArialMT"/>
          <w:b w:val="false"/>
          <w:i w:val="false"/>
          <w:i w:val="false"/>
          <w:color w:val="000000"/>
          <w:sz w:val="24"/>
          <w:u w:val="none"/>
        </w:rPr>
      </w:pPr>
      <w:r>
        <w:rPr/>
        <w:t>Sub-topic 3-2: UE RF</w:t>
      </w:r>
    </w:p>
    <w:p>
      <w:pPr>
        <w:pStyle w:val="Normal"/>
        <w:spacing w:before="0" w:after="180"/>
        <w:rPr>
          <w:rFonts w:ascii="TimesNewRomanPS-ItalicMT" w:hAnsi="TimesNewRomanPS-ItalicMT"/>
          <w:b w:val="false"/>
          <w:i/>
          <w:i/>
          <w:color w:val="0B5AB2"/>
          <w:sz w:val="20"/>
          <w:u w:val="none"/>
        </w:rPr>
      </w:pPr>
      <w:r>
        <w:rPr>
          <w:rFonts w:ascii="TimesNewRomanPS-ItalicMT" w:hAnsi="TimesNewRomanPS-ItalicMT"/>
          <w:b w:val="false"/>
          <w:i/>
          <w:color w:val="0B5AB2"/>
          <w:sz w:val="20"/>
          <w:u w:val="none"/>
        </w:rPr>
        <w:t>Sub-topic description: System parameters and UE RF aspects</w:t>
      </w:r>
    </w:p>
    <w:p>
      <w:pPr>
        <w:pStyle w:val="Heading4"/>
        <w:rPr>
          <w:rFonts w:ascii="ArialMT" w:hAnsi="ArialMT"/>
          <w:b w:val="false"/>
          <w:i w:val="false"/>
          <w:i w:val="false"/>
          <w:color w:val="000000"/>
          <w:sz w:val="24"/>
          <w:u w:val="none"/>
        </w:rPr>
      </w:pPr>
      <w:r>
        <w:rPr/>
        <w:t>Issue 3-2-1: UE Duplexer</w:t>
      </w:r>
    </w:p>
    <w:p>
      <w:pPr>
        <w:pStyle w:val="Normal"/>
        <w:numPr>
          <w:ilvl w:val="0"/>
          <w:numId w:val="2"/>
        </w:numPr>
        <w:tabs>
          <w:tab w:val="clear" w:pos="567"/>
          <w:tab w:val="left" w:pos="360" w:leader="none"/>
          <w:tab w:val="left" w:pos="720" w:leader="none"/>
        </w:tabs>
        <w:spacing w:before="0" w:after="120"/>
        <w:ind w:hanging="720" w:left="720"/>
        <w:rPr>
          <w:rFonts w:ascii="TimesNewRomanPSMT" w:hAnsi="TimesNewRomanPSMT"/>
          <w:b w:val="false"/>
          <w:i w:val="false"/>
          <w:i w:val="false"/>
          <w:color w:val="0B5AB2"/>
          <w:sz w:val="20"/>
          <w:u w:val="none"/>
        </w:rPr>
      </w:pPr>
      <w:r>
        <w:rPr>
          <w:rFonts w:ascii="TimesNewRomanPS-BoldMT" w:hAnsi="TimesNewRomanPS-BoldMT"/>
          <w:b/>
          <w:i w:val="false"/>
          <w:color w:val="0B5AB2"/>
          <w:sz w:val="20"/>
          <w:u w:val="none"/>
        </w:rPr>
        <w:t>Agreement:</w:t>
      </w:r>
    </w:p>
    <w:p>
      <w:pPr>
        <w:pStyle w:val="Normal"/>
        <w:numPr>
          <w:ilvl w:val="1"/>
          <w:numId w:val="2"/>
        </w:numPr>
        <w:tabs>
          <w:tab w:val="clear" w:pos="567"/>
          <w:tab w:val="left" w:pos="1080" w:leader="none"/>
          <w:tab w:val="left" w:pos="1440" w:leader="none"/>
        </w:tabs>
        <w:spacing w:before="0" w:after="120"/>
        <w:ind w:hanging="1440" w:left="144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t>Further discuss whether implementation with one duplexer is feasible, considering the requirements to protect Radio Astronomy in the 1660-1668MHz range between the two UL.</w:t>
      </w:r>
    </w:p>
    <w:p>
      <w:pPr>
        <w:pStyle w:val="Normal"/>
        <w:spacing w:before="0" w:after="12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r>
    </w:p>
    <w:p>
      <w:pPr>
        <w:pStyle w:val="Normal"/>
        <w:spacing w:before="0" w:after="12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r>
    </w:p>
    <w:p>
      <w:pPr>
        <w:pStyle w:val="Heading4"/>
        <w:rPr>
          <w:rFonts w:ascii="ArialMT" w:hAnsi="ArialMT"/>
          <w:b w:val="false"/>
          <w:i w:val="false"/>
          <w:i w:val="false"/>
          <w:color w:val="000000"/>
          <w:sz w:val="24"/>
          <w:u w:val="none"/>
        </w:rPr>
      </w:pPr>
      <w:r>
        <w:rPr/>
        <w:t>Sub-topic 3-3: SAN RF</w:t>
      </w:r>
    </w:p>
    <w:p>
      <w:pPr>
        <w:pStyle w:val="Normal"/>
        <w:spacing w:before="0" w:after="180"/>
        <w:rPr>
          <w:rFonts w:ascii="TimesNewRomanPS-ItalicMT" w:hAnsi="TimesNewRomanPS-ItalicMT"/>
          <w:b w:val="false"/>
          <w:i/>
          <w:i/>
          <w:color w:val="0B5AB2"/>
          <w:sz w:val="20"/>
          <w:u w:val="none"/>
        </w:rPr>
      </w:pPr>
      <w:r>
        <w:rPr>
          <w:rFonts w:ascii="TimesNewRomanPS-ItalicMT" w:hAnsi="TimesNewRomanPS-ItalicMT"/>
          <w:b w:val="false"/>
          <w:i/>
          <w:color w:val="0B5AB2"/>
          <w:sz w:val="20"/>
          <w:u w:val="none"/>
        </w:rPr>
        <w:t>Sub-topic description: SAN RF requirements</w:t>
      </w:r>
    </w:p>
    <w:p>
      <w:pPr>
        <w:pStyle w:val="Heading4"/>
        <w:rPr>
          <w:rFonts w:ascii="ArialMT" w:hAnsi="ArialMT"/>
          <w:b w:val="false"/>
          <w:i w:val="false"/>
          <w:i w:val="false"/>
          <w:color w:val="000000"/>
          <w:sz w:val="24"/>
          <w:u w:val="none"/>
        </w:rPr>
      </w:pPr>
      <w:r>
        <w:rPr/>
        <w:t>Issue 3-3-1: SAN Operating Bands</w:t>
      </w:r>
    </w:p>
    <w:p>
      <w:pPr>
        <w:pStyle w:val="Normal"/>
        <w:numPr>
          <w:ilvl w:val="0"/>
          <w:numId w:val="0"/>
        </w:numPr>
        <w:tabs>
          <w:tab w:val="clear" w:pos="567"/>
          <w:tab w:val="left" w:pos="360" w:leader="none"/>
          <w:tab w:val="left" w:pos="720" w:leader="none"/>
        </w:tabs>
        <w:spacing w:before="0" w:after="120"/>
        <w:ind w:hanging="0" w:left="720"/>
        <w:rPr>
          <w:rFonts w:ascii="TimesNewRomanPS-BoldMT" w:hAnsi="TimesNewRomanPS-BoldMT"/>
          <w:b/>
          <w:i w:val="false"/>
          <w:i w:val="false"/>
          <w:color w:val="0B5AB2"/>
          <w:sz w:val="20"/>
          <w:u w:val="none"/>
        </w:rPr>
      </w:pPr>
      <w:r>
        <w:rPr>
          <w:rFonts w:ascii="TimesNewRomanPS-BoldMT" w:hAnsi="TimesNewRomanPS-BoldMT"/>
          <w:b/>
          <w:i w:val="false"/>
          <w:color w:val="0B5AB2"/>
          <w:sz w:val="20"/>
          <w:u w:val="none"/>
        </w:rPr>
        <w:t>Agreement</w:t>
      </w:r>
    </w:p>
    <w:p>
      <w:pPr>
        <w:pStyle w:val="Normal"/>
        <w:numPr>
          <w:ilvl w:val="1"/>
          <w:numId w:val="12"/>
        </w:numPr>
        <w:tabs>
          <w:tab w:val="clear" w:pos="567"/>
          <w:tab w:val="left" w:pos="1080" w:leader="none"/>
          <w:tab w:val="left" w:pos="1440" w:leader="none"/>
        </w:tabs>
        <w:spacing w:before="0" w:after="12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t>Specify the following SAN operating bands for bands n253, n251 and n250:</w:t>
      </w:r>
    </w:p>
    <w:tbl>
      <w:tblPr>
        <w:tblW w:w="8748" w:type="dxa"/>
        <w:jc w:val="left"/>
        <w:tblInd w:w="-19" w:type="dxa"/>
        <w:tblLayout w:type="fixed"/>
        <w:tblCellMar>
          <w:top w:w="80" w:type="dxa"/>
          <w:left w:w="80" w:type="dxa"/>
          <w:bottom w:w="80" w:type="dxa"/>
          <w:right w:w="80" w:type="dxa"/>
        </w:tblCellMar>
      </w:tblPr>
      <w:tblGrid>
        <w:gridCol w:w="2268"/>
        <w:gridCol w:w="2160"/>
        <w:gridCol w:w="2160"/>
        <w:gridCol w:w="2159"/>
      </w:tblGrid>
      <w:tr>
        <w:trPr/>
        <w:tc>
          <w:tcPr>
            <w:tcW w:w="226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BoldMT" w:hAnsi="Arial-BoldMT"/>
                <w:b/>
                <w:i w:val="false"/>
                <w:color w:val="355BB7"/>
                <w:sz w:val="18"/>
                <w:u w:val="none"/>
              </w:rPr>
              <w:t xml:space="preserve">Satellite </w:t>
            </w:r>
            <w:r>
              <w:rPr>
                <w:rFonts w:ascii="Arial-BoldItalicMT" w:hAnsi="Arial-BoldItalicMT"/>
                <w:b/>
                <w:i/>
                <w:color w:val="355BB7"/>
                <w:sz w:val="18"/>
                <w:u w:val="none"/>
              </w:rPr>
              <w:t>operating band</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jc w:val="center"/>
              <w:rPr>
                <w:rFonts w:ascii="Arial-BoldMT" w:hAnsi="Arial-BoldMT"/>
                <w:b/>
                <w:i w:val="false"/>
                <w:i w:val="false"/>
                <w:color w:val="355BB7"/>
                <w:sz w:val="18"/>
                <w:u w:val="none"/>
              </w:rPr>
            </w:pPr>
            <w:r>
              <w:rPr>
                <w:rFonts w:ascii="Arial-BoldMT" w:hAnsi="Arial-BoldMT"/>
                <w:b/>
                <w:i w:val="false"/>
                <w:color w:val="355BB7"/>
                <w:sz w:val="18"/>
                <w:u w:val="none"/>
              </w:rPr>
              <w:t xml:space="preserve">Uplink (UL) </w:t>
            </w:r>
            <w:r>
              <w:rPr>
                <w:rFonts w:ascii="Arial-BoldItalicMT" w:hAnsi="Arial-BoldItalicMT"/>
                <w:b/>
                <w:i/>
                <w:color w:val="355BB7"/>
                <w:sz w:val="18"/>
                <w:u w:val="none"/>
              </w:rPr>
              <w:t>operating band</w:t>
            </w:r>
            <w:r>
              <w:rPr>
                <w:rFonts w:ascii="Arial-BoldMT" w:hAnsi="Arial-BoldMT"/>
                <w:b/>
                <w:i w:val="false"/>
                <w:color w:val="355BB7"/>
                <w:sz w:val="18"/>
                <w:u w:val="none"/>
              </w:rPr>
              <w:t> SAN receive / UE transmit</w:t>
            </w:r>
          </w:p>
          <w:p>
            <w:pPr>
              <w:pStyle w:val="Normal"/>
              <w:tabs>
                <w:tab w:val="clear" w:pos="567"/>
              </w:tabs>
              <w:spacing w:before="0" w:after="180"/>
              <w:jc w:val="center"/>
              <w:rPr/>
            </w:pPr>
            <w:r>
              <w:rPr>
                <w:rFonts w:ascii="Arial-BoldMT" w:hAnsi="Arial-BoldMT"/>
                <w:b/>
                <w:i w:val="false"/>
                <w:color w:val="355BB7"/>
                <w:sz w:val="18"/>
                <w:u w:val="none"/>
              </w:rPr>
              <w:t>F</w:t>
            </w:r>
            <w:r>
              <w:rPr>
                <w:rFonts w:ascii="Arial-BoldMT" w:hAnsi="Arial-BoldMT"/>
                <w:b/>
                <w:i w:val="false"/>
                <w:color w:val="355BB7"/>
                <w:sz w:val="12"/>
                <w:u w:val="none"/>
                <w:vertAlign w:val="subscript"/>
              </w:rPr>
              <w:t>UL,low</w:t>
            </w:r>
            <w:r>
              <w:rPr>
                <w:rFonts w:ascii="Arial-BoldMT" w:hAnsi="Arial-BoldMT"/>
                <w:b/>
                <w:i w:val="false"/>
                <w:color w:val="355BB7"/>
                <w:sz w:val="18"/>
                <w:u w:val="none"/>
              </w:rPr>
              <w:t xml:space="preserve">   –  F</w:t>
            </w:r>
            <w:r>
              <w:rPr>
                <w:rFonts w:ascii="Arial-BoldMT" w:hAnsi="Arial-BoldMT"/>
                <w:b/>
                <w:i w:val="false"/>
                <w:color w:val="355BB7"/>
                <w:sz w:val="12"/>
                <w:u w:val="none"/>
                <w:vertAlign w:val="subscript"/>
              </w:rPr>
              <w:t>UL,high</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jc w:val="center"/>
              <w:rPr>
                <w:rFonts w:ascii="Arial-BoldMT" w:hAnsi="Arial-BoldMT"/>
                <w:b/>
                <w:i w:val="false"/>
                <w:i w:val="false"/>
                <w:color w:val="355BB7"/>
                <w:sz w:val="18"/>
                <w:u w:val="none"/>
              </w:rPr>
            </w:pPr>
            <w:r>
              <w:rPr>
                <w:rFonts w:ascii="Arial-BoldMT" w:hAnsi="Arial-BoldMT"/>
                <w:b/>
                <w:i w:val="false"/>
                <w:color w:val="355BB7"/>
                <w:sz w:val="18"/>
                <w:u w:val="none"/>
              </w:rPr>
              <w:t xml:space="preserve">Downlink (DL) </w:t>
            </w:r>
            <w:r>
              <w:rPr>
                <w:rFonts w:ascii="Arial-BoldItalicMT" w:hAnsi="Arial-BoldItalicMT"/>
                <w:b/>
                <w:i/>
                <w:color w:val="355BB7"/>
                <w:sz w:val="18"/>
                <w:u w:val="none"/>
              </w:rPr>
              <w:t>operating band</w:t>
            </w:r>
            <w:r>
              <w:rPr>
                <w:rFonts w:ascii="Arial-BoldMT" w:hAnsi="Arial-BoldMT"/>
                <w:b/>
                <w:i w:val="false"/>
                <w:color w:val="355BB7"/>
                <w:sz w:val="18"/>
                <w:u w:val="none"/>
              </w:rPr>
              <w:t> SAN transmit / UE receive</w:t>
            </w:r>
          </w:p>
          <w:p>
            <w:pPr>
              <w:pStyle w:val="Normal"/>
              <w:tabs>
                <w:tab w:val="clear" w:pos="567"/>
              </w:tabs>
              <w:spacing w:before="0" w:after="180"/>
              <w:jc w:val="center"/>
              <w:rPr/>
            </w:pPr>
            <w:r>
              <w:rPr>
                <w:rFonts w:ascii="Arial-BoldMT" w:hAnsi="Arial-BoldMT"/>
                <w:b/>
                <w:i w:val="false"/>
                <w:color w:val="355BB7"/>
                <w:sz w:val="18"/>
                <w:u w:val="none"/>
              </w:rPr>
              <w:t>F</w:t>
            </w:r>
            <w:r>
              <w:rPr>
                <w:rFonts w:ascii="Arial-BoldMT" w:hAnsi="Arial-BoldMT"/>
                <w:b/>
                <w:i w:val="false"/>
                <w:color w:val="355BB7"/>
                <w:sz w:val="12"/>
                <w:u w:val="none"/>
                <w:vertAlign w:val="subscript"/>
              </w:rPr>
              <w:t>DL,low</w:t>
            </w:r>
            <w:r>
              <w:rPr>
                <w:rFonts w:ascii="Arial-BoldMT" w:hAnsi="Arial-BoldMT"/>
                <w:b/>
                <w:i w:val="false"/>
                <w:color w:val="355BB7"/>
                <w:sz w:val="18"/>
                <w:u w:val="none"/>
              </w:rPr>
              <w:t xml:space="preserve">   –  F</w:t>
            </w:r>
            <w:r>
              <w:rPr>
                <w:rFonts w:ascii="Arial-BoldMT" w:hAnsi="Arial-BoldMT"/>
                <w:b/>
                <w:i w:val="false"/>
                <w:color w:val="355BB7"/>
                <w:sz w:val="12"/>
                <w:u w:val="none"/>
                <w:vertAlign w:val="subscript"/>
              </w:rPr>
              <w:t>DL,high</w:t>
            </w:r>
          </w:p>
        </w:tc>
        <w:tc>
          <w:tcPr>
            <w:tcW w:w="2159"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BoldMT" w:hAnsi="Arial-BoldMT"/>
                <w:b/>
                <w:i w:val="false"/>
                <w:color w:val="355BB7"/>
                <w:sz w:val="18"/>
                <w:u w:val="none"/>
              </w:rPr>
              <w:t>Duplex mode</w:t>
            </w:r>
          </w:p>
        </w:tc>
      </w:tr>
      <w:tr>
        <w:trPr/>
        <w:tc>
          <w:tcPr>
            <w:tcW w:w="226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n253</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1668 MHz - 1675 MHz</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1518 MHz - 1525 MHz</w:t>
            </w:r>
          </w:p>
        </w:tc>
        <w:tc>
          <w:tcPr>
            <w:tcW w:w="2159"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FDD</w:t>
            </w:r>
          </w:p>
        </w:tc>
      </w:tr>
      <w:tr>
        <w:trPr/>
        <w:tc>
          <w:tcPr>
            <w:tcW w:w="226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n251</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1626.5 MHz - 1660.5 MHz</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1518 MHz - 1559 MHz</w:t>
            </w:r>
          </w:p>
        </w:tc>
        <w:tc>
          <w:tcPr>
            <w:tcW w:w="2159"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FDD</w:t>
            </w:r>
          </w:p>
        </w:tc>
      </w:tr>
      <w:tr>
        <w:trPr/>
        <w:tc>
          <w:tcPr>
            <w:tcW w:w="226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n250</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1668 MHz - 1675 MHz</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1518 MHz - 1559 MHz</w:t>
            </w:r>
          </w:p>
        </w:tc>
        <w:tc>
          <w:tcPr>
            <w:tcW w:w="2159"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FDD</w:t>
            </w:r>
          </w:p>
        </w:tc>
      </w:tr>
      <w:tr>
        <w:trPr/>
        <w:tc>
          <w:tcPr>
            <w:tcW w:w="8747" w:type="dxa"/>
            <w:gridSpan w:val="4"/>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ind w:hanging="851" w:left="851"/>
              <w:rPr/>
            </w:pPr>
            <w:r>
              <w:rPr>
                <w:rFonts w:ascii="ArialMT" w:hAnsi="ArialMT"/>
                <w:b w:val="false"/>
                <w:i w:val="false"/>
                <w:color w:val="355BB7"/>
                <w:sz w:val="18"/>
                <w:u w:val="none"/>
              </w:rPr>
              <w:t>NOTE:</w:t>
              <w:tab/>
              <w:t>Satellite bands are numbered in descending order from n256.</w:t>
            </w:r>
          </w:p>
        </w:tc>
      </w:tr>
    </w:tbl>
    <w:p>
      <w:pPr>
        <w:pStyle w:val="Normal"/>
        <w:spacing w:before="0" w:after="12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r>
    </w:p>
    <w:p>
      <w:pPr>
        <w:pStyle w:val="Normal"/>
        <w:spacing w:before="0" w:after="12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r>
    </w:p>
    <w:p>
      <w:pPr>
        <w:pStyle w:val="Heading4"/>
        <w:rPr>
          <w:rFonts w:ascii="ArialMT" w:hAnsi="ArialMT"/>
          <w:b w:val="false"/>
          <w:i w:val="false"/>
          <w:i w:val="false"/>
          <w:color w:val="000000"/>
          <w:sz w:val="24"/>
          <w:u w:val="none"/>
        </w:rPr>
      </w:pPr>
      <w:r>
        <w:rPr/>
        <w:t>Issue 3-3-2: SAN Channel Bandwidths</w:t>
      </w:r>
    </w:p>
    <w:p>
      <w:pPr>
        <w:pStyle w:val="Normal"/>
        <w:numPr>
          <w:ilvl w:val="0"/>
          <w:numId w:val="4"/>
        </w:numPr>
        <w:tabs>
          <w:tab w:val="clear" w:pos="567"/>
          <w:tab w:val="left" w:pos="360" w:leader="none"/>
          <w:tab w:val="left" w:pos="720" w:leader="none"/>
        </w:tabs>
        <w:spacing w:before="0" w:after="120"/>
        <w:ind w:hanging="720" w:left="720"/>
        <w:rPr>
          <w:rFonts w:ascii="TimesNewRomanPS-BoldMT" w:hAnsi="TimesNewRomanPS-BoldMT"/>
          <w:b/>
          <w:i w:val="false"/>
          <w:i w:val="false"/>
          <w:color w:val="0B5AB2"/>
          <w:sz w:val="20"/>
          <w:u w:val="none"/>
        </w:rPr>
      </w:pPr>
      <w:r>
        <w:rPr>
          <w:rFonts w:ascii="TimesNewRomanPS-BoldMT" w:hAnsi="TimesNewRomanPS-BoldMT"/>
          <w:b/>
          <w:i w:val="false"/>
          <w:color w:val="0B5AB2"/>
          <w:sz w:val="20"/>
          <w:u w:val="none"/>
        </w:rPr>
        <w:t>Agreement:</w:t>
      </w:r>
    </w:p>
    <w:p>
      <w:pPr>
        <w:pStyle w:val="Normal"/>
        <w:numPr>
          <w:ilvl w:val="1"/>
          <w:numId w:val="4"/>
        </w:numPr>
        <w:tabs>
          <w:tab w:val="clear" w:pos="567"/>
          <w:tab w:val="left" w:pos="360" w:leader="none"/>
          <w:tab w:val="left" w:pos="720" w:leader="none"/>
        </w:tabs>
        <w:spacing w:before="0" w:after="120"/>
        <w:rPr>
          <w:rFonts w:ascii="TimesNewRomanPS-BoldMT" w:hAnsi="TimesNewRomanPS-BoldMT"/>
          <w:b/>
          <w:i w:val="false"/>
          <w:i w:val="false"/>
          <w:color w:val="0B5AB2"/>
          <w:sz w:val="20"/>
          <w:u w:val="none"/>
        </w:rPr>
      </w:pPr>
      <w:r>
        <w:rPr>
          <w:rFonts w:ascii="TimesNewRomanPSMT" w:hAnsi="TimesNewRomanPSMT"/>
          <w:b w:val="false"/>
          <w:i w:val="false"/>
          <w:color w:val="0B5AB2"/>
          <w:sz w:val="20"/>
          <w:u w:val="none"/>
        </w:rPr>
        <w:t>Specify the following initial SAN DL channel bandwidths for bands n253, n251 and n250:</w:t>
      </w:r>
    </w:p>
    <w:p>
      <w:pPr>
        <w:pStyle w:val="Normal"/>
        <w:numPr>
          <w:ilvl w:val="1"/>
          <w:numId w:val="4"/>
        </w:numPr>
        <w:tabs>
          <w:tab w:val="clear" w:pos="567"/>
          <w:tab w:val="left" w:pos="360" w:leader="none"/>
          <w:tab w:val="left" w:pos="720" w:leader="none"/>
        </w:tabs>
        <w:spacing w:before="0" w:after="120"/>
        <w:rPr>
          <w:rFonts w:ascii="TimesNewRomanPS-BoldMT" w:hAnsi="TimesNewRomanPS-BoldMT"/>
          <w:b/>
          <w:i w:val="false"/>
          <w:i w:val="false"/>
          <w:color w:val="0B5AB2"/>
          <w:sz w:val="20"/>
          <w:u w:val="none"/>
        </w:rPr>
      </w:pPr>
      <w:r>
        <w:rPr>
          <w:rFonts w:ascii="TimesNewRomanPSMT" w:hAnsi="TimesNewRomanPSMT"/>
          <w:b w:val="false"/>
          <w:i w:val="false"/>
          <w:color w:val="0B5AB2"/>
          <w:sz w:val="20"/>
          <w:u w:val="none"/>
        </w:rPr>
        <w:t>FFS which channel bandwidth applies for UL</w:t>
      </w:r>
    </w:p>
    <w:tbl>
      <w:tblPr>
        <w:tblW w:w="8748" w:type="dxa"/>
        <w:jc w:val="left"/>
        <w:tblInd w:w="-19" w:type="dxa"/>
        <w:tblLayout w:type="fixed"/>
        <w:tblCellMar>
          <w:top w:w="80" w:type="dxa"/>
          <w:left w:w="80" w:type="dxa"/>
          <w:bottom w:w="80" w:type="dxa"/>
          <w:right w:w="80" w:type="dxa"/>
        </w:tblCellMar>
      </w:tblPr>
      <w:tblGrid>
        <w:gridCol w:w="1341"/>
        <w:gridCol w:w="1235"/>
        <w:gridCol w:w="1233"/>
        <w:gridCol w:w="1235"/>
        <w:gridCol w:w="1235"/>
        <w:gridCol w:w="1233"/>
        <w:gridCol w:w="1235"/>
      </w:tblGrid>
      <w:tr>
        <w:trPr/>
        <w:tc>
          <w:tcPr>
            <w:tcW w:w="1341" w:type="dxa"/>
            <w:vMerge w:val="restart"/>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BoldMT" w:hAnsi="Arial-BoldMT"/>
                <w:b/>
                <w:i w:val="false"/>
                <w:color w:val="355BB7"/>
                <w:sz w:val="18"/>
                <w:u w:val="none"/>
              </w:rPr>
              <w:t>SAN Operating Band</w:t>
            </w:r>
          </w:p>
        </w:tc>
        <w:tc>
          <w:tcPr>
            <w:tcW w:w="1235" w:type="dxa"/>
            <w:vMerge w:val="restart"/>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BoldMT" w:hAnsi="Arial-BoldMT"/>
                <w:b/>
                <w:i w:val="false"/>
                <w:color w:val="355BB7"/>
                <w:sz w:val="18"/>
                <w:u w:val="none"/>
              </w:rPr>
              <w:t>SCS (kHz)</w:t>
            </w:r>
          </w:p>
        </w:tc>
        <w:tc>
          <w:tcPr>
            <w:tcW w:w="6171" w:type="dxa"/>
            <w:gridSpan w:val="5"/>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BoldItalicMT" w:hAnsi="Arial-BoldItalicMT"/>
                <w:b/>
                <w:i/>
                <w:color w:val="355BB7"/>
                <w:sz w:val="18"/>
                <w:u w:val="none"/>
              </w:rPr>
              <w:t xml:space="preserve">SAN channel bandwidth </w:t>
            </w:r>
            <w:r>
              <w:rPr>
                <w:rFonts w:ascii="Arial-BoldMT" w:hAnsi="Arial-BoldMT"/>
                <w:b/>
                <w:i w:val="false"/>
                <w:color w:val="355BB7"/>
                <w:sz w:val="18"/>
                <w:u w:val="none"/>
              </w:rPr>
              <w:t>(MHz)</w:t>
            </w:r>
          </w:p>
        </w:tc>
      </w:tr>
      <w:tr>
        <w:trPr/>
        <w:tc>
          <w:tcPr>
            <w:tcW w:w="1341"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vMerge w:val="continue"/>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jc w:val="center"/>
              <w:rPr>
                <w:rFonts w:ascii="Arial-BoldMT" w:hAnsi="Arial-BoldMT"/>
                <w:b/>
                <w:i w:val="false"/>
                <w:i w:val="false"/>
                <w:color w:val="355BB7"/>
                <w:sz w:val="18"/>
                <w:u w:val="none"/>
              </w:rPr>
            </w:pPr>
            <w:r>
              <w:rPr>
                <w:rFonts w:ascii="Arial-BoldMT" w:hAnsi="Arial-BoldMT"/>
                <w:b/>
                <w:i w:val="false"/>
                <w:color w:val="355BB7"/>
                <w:sz w:val="18"/>
                <w:u w:val="none"/>
              </w:rPr>
              <w:t>5</w:t>
            </w:r>
          </w:p>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jc w:val="center"/>
              <w:rPr>
                <w:rFonts w:ascii="Arial-BoldMT" w:hAnsi="Arial-BoldMT"/>
                <w:b/>
                <w:i w:val="false"/>
                <w:i w:val="false"/>
                <w:color w:val="355BB7"/>
                <w:sz w:val="18"/>
                <w:u w:val="none"/>
              </w:rPr>
            </w:pPr>
            <w:r>
              <w:rPr>
                <w:rFonts w:ascii="Arial-BoldMT" w:hAnsi="Arial-BoldMT"/>
                <w:b/>
                <w:i w:val="false"/>
                <w:color w:val="355BB7"/>
                <w:sz w:val="18"/>
                <w:u w:val="none"/>
              </w:rPr>
              <w:t>10</w:t>
            </w:r>
          </w:p>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jc w:val="center"/>
              <w:rPr>
                <w:rFonts w:ascii="Arial-BoldMT" w:hAnsi="Arial-BoldMT"/>
                <w:b/>
                <w:i w:val="false"/>
                <w:i w:val="false"/>
                <w:color w:val="355BB7"/>
                <w:sz w:val="18"/>
                <w:u w:val="none"/>
              </w:rPr>
            </w:pPr>
            <w:r>
              <w:rPr>
                <w:rFonts w:ascii="Arial-BoldMT" w:hAnsi="Arial-BoldMT"/>
                <w:b/>
                <w:i w:val="false"/>
                <w:color w:val="355BB7"/>
                <w:sz w:val="18"/>
                <w:u w:val="none"/>
              </w:rPr>
              <w:t>15</w:t>
            </w:r>
          </w:p>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jc w:val="center"/>
              <w:rPr>
                <w:rFonts w:ascii="Arial-BoldMT" w:hAnsi="Arial-BoldMT"/>
                <w:b/>
                <w:i w:val="false"/>
                <w:i w:val="false"/>
                <w:color w:val="355BB7"/>
                <w:sz w:val="18"/>
                <w:u w:val="none"/>
              </w:rPr>
            </w:pPr>
            <w:r>
              <w:rPr>
                <w:rFonts w:ascii="Arial-BoldMT" w:hAnsi="Arial-BoldMT"/>
                <w:b/>
                <w:i w:val="false"/>
                <w:color w:val="355BB7"/>
                <w:sz w:val="18"/>
                <w:u w:val="none"/>
              </w:rPr>
              <w:t>20</w:t>
            </w:r>
          </w:p>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jc w:val="center"/>
              <w:rPr>
                <w:rFonts w:ascii="Arial-BoldMT" w:hAnsi="Arial-BoldMT"/>
                <w:b/>
                <w:i w:val="false"/>
                <w:i w:val="false"/>
                <w:color w:val="355BB7"/>
                <w:sz w:val="18"/>
                <w:u w:val="none"/>
              </w:rPr>
            </w:pPr>
            <w:r>
              <w:rPr>
                <w:rFonts w:ascii="Arial-BoldMT" w:hAnsi="Arial-BoldMT"/>
                <w:b/>
                <w:i w:val="false"/>
                <w:color w:val="355BB7"/>
                <w:sz w:val="18"/>
                <w:u w:val="none"/>
              </w:rPr>
              <w:t>30</w:t>
            </w:r>
          </w:p>
          <w:p>
            <w:pPr>
              <w:pStyle w:val="Normal"/>
              <w:tabs>
                <w:tab w:val="clear" w:pos="567"/>
              </w:tabs>
              <w:spacing w:before="0" w:after="180"/>
              <w:jc w:val="center"/>
              <w:rPr/>
            </w:pPr>
            <w:r>
              <w:rPr>
                <w:rFonts w:ascii="Arial-BoldMT" w:hAnsi="Arial-BoldMT"/>
                <w:b/>
                <w:i w:val="false"/>
                <w:color w:val="355BB7"/>
                <w:sz w:val="18"/>
                <w:u w:val="none"/>
              </w:rPr>
              <w:t>(NOTE)</w:t>
            </w:r>
          </w:p>
        </w:tc>
      </w:tr>
      <w:tr>
        <w:trPr/>
        <w:tc>
          <w:tcPr>
            <w:tcW w:w="1341"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15</w:t>
            </w:r>
          </w:p>
        </w:tc>
        <w:tc>
          <w:tcPr>
            <w:tcW w:w="1233"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5</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r>
      <w:tr>
        <w:trPr/>
        <w:tc>
          <w:tcPr>
            <w:tcW w:w="1341"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n253</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30</w:t>
            </w:r>
          </w:p>
        </w:tc>
        <w:tc>
          <w:tcPr>
            <w:tcW w:w="1233"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r>
      <w:tr>
        <w:trPr/>
        <w:tc>
          <w:tcPr>
            <w:tcW w:w="1341"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60</w:t>
            </w:r>
          </w:p>
        </w:tc>
        <w:tc>
          <w:tcPr>
            <w:tcW w:w="1233"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r>
      <w:tr>
        <w:trPr/>
        <w:tc>
          <w:tcPr>
            <w:tcW w:w="1341"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15</w:t>
            </w:r>
          </w:p>
        </w:tc>
        <w:tc>
          <w:tcPr>
            <w:tcW w:w="1233"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5</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10</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15</w:t>
            </w:r>
          </w:p>
        </w:tc>
        <w:tc>
          <w:tcPr>
            <w:tcW w:w="123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20</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30</w:t>
            </w:r>
          </w:p>
        </w:tc>
      </w:tr>
      <w:tr>
        <w:trPr/>
        <w:tc>
          <w:tcPr>
            <w:tcW w:w="1341"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n251</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30</w:t>
            </w:r>
          </w:p>
        </w:tc>
        <w:tc>
          <w:tcPr>
            <w:tcW w:w="1233"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10</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15</w:t>
            </w:r>
          </w:p>
        </w:tc>
        <w:tc>
          <w:tcPr>
            <w:tcW w:w="123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20</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30</w:t>
            </w:r>
          </w:p>
        </w:tc>
      </w:tr>
      <w:tr>
        <w:trPr/>
        <w:tc>
          <w:tcPr>
            <w:tcW w:w="1341"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60</w:t>
            </w:r>
          </w:p>
        </w:tc>
        <w:tc>
          <w:tcPr>
            <w:tcW w:w="1233"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10</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15</w:t>
            </w:r>
          </w:p>
        </w:tc>
        <w:tc>
          <w:tcPr>
            <w:tcW w:w="123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20</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30</w:t>
            </w:r>
          </w:p>
        </w:tc>
      </w:tr>
      <w:tr>
        <w:trPr/>
        <w:tc>
          <w:tcPr>
            <w:tcW w:w="1341"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15</w:t>
            </w:r>
          </w:p>
        </w:tc>
        <w:tc>
          <w:tcPr>
            <w:tcW w:w="1233"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5</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10</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15</w:t>
            </w:r>
          </w:p>
        </w:tc>
        <w:tc>
          <w:tcPr>
            <w:tcW w:w="123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20</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30</w:t>
            </w:r>
          </w:p>
        </w:tc>
      </w:tr>
      <w:tr>
        <w:trPr/>
        <w:tc>
          <w:tcPr>
            <w:tcW w:w="1341"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n250</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30</w:t>
            </w:r>
          </w:p>
        </w:tc>
        <w:tc>
          <w:tcPr>
            <w:tcW w:w="1233"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10</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15</w:t>
            </w:r>
          </w:p>
        </w:tc>
        <w:tc>
          <w:tcPr>
            <w:tcW w:w="123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20</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30</w:t>
            </w:r>
          </w:p>
        </w:tc>
      </w:tr>
      <w:tr>
        <w:trPr/>
        <w:tc>
          <w:tcPr>
            <w:tcW w:w="1341"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60</w:t>
            </w:r>
          </w:p>
        </w:tc>
        <w:tc>
          <w:tcPr>
            <w:tcW w:w="1233"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10</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15</w:t>
            </w:r>
          </w:p>
        </w:tc>
        <w:tc>
          <w:tcPr>
            <w:tcW w:w="1233"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20</w:t>
            </w:r>
          </w:p>
        </w:tc>
        <w:tc>
          <w:tcPr>
            <w:tcW w:w="1235"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30</w:t>
            </w:r>
          </w:p>
        </w:tc>
      </w:tr>
      <w:tr>
        <w:trPr/>
        <w:tc>
          <w:tcPr>
            <w:tcW w:w="8747" w:type="dxa"/>
            <w:gridSpan w:val="7"/>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ind w:hanging="851" w:left="851"/>
              <w:rPr/>
            </w:pPr>
            <w:r>
              <w:rPr>
                <w:rFonts w:ascii="ArialMT" w:hAnsi="ArialMT"/>
                <w:b w:val="false"/>
                <w:i w:val="false"/>
                <w:color w:val="355BB7"/>
                <w:sz w:val="18"/>
                <w:u w:val="none"/>
              </w:rPr>
              <w:t>NOTE:</w:t>
              <w:tab/>
              <w:t>Deployment of 30 MHz channel bandwidth for NTN SAN needs to be preceded by introduction of all applicable Tx RF, Rx RF, and demodulation requirements.</w:t>
            </w:r>
          </w:p>
        </w:tc>
      </w:tr>
    </w:tbl>
    <w:p>
      <w:pPr>
        <w:pStyle w:val="Normal"/>
        <w:spacing w:before="0" w:after="12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r>
    </w:p>
    <w:p>
      <w:pPr>
        <w:pStyle w:val="Normal"/>
        <w:spacing w:before="0" w:after="180"/>
        <w:ind w:hanging="1418" w:left="1418"/>
        <w:rPr>
          <w:rFonts w:ascii="ArialMT" w:hAnsi="ArialMT"/>
          <w:b w:val="false"/>
          <w:i w:val="false"/>
          <w:i w:val="false"/>
          <w:color w:val="000000"/>
          <w:sz w:val="24"/>
          <w:u w:val="none"/>
        </w:rPr>
      </w:pPr>
      <w:r>
        <w:rPr>
          <w:rFonts w:ascii="ArialMT" w:hAnsi="ArialMT"/>
          <w:b w:val="false"/>
          <w:i w:val="false"/>
          <w:color w:val="000000"/>
          <w:sz w:val="24"/>
          <w:u w:val="none"/>
        </w:rPr>
      </w:r>
    </w:p>
    <w:p>
      <w:pPr>
        <w:pStyle w:val="Normal"/>
        <w:spacing w:before="0" w:after="180"/>
        <w:ind w:hanging="1418" w:left="1418"/>
        <w:rPr>
          <w:rFonts w:ascii="ArialMT" w:hAnsi="ArialMT"/>
          <w:b w:val="false"/>
          <w:i w:val="false"/>
          <w:i w:val="false"/>
          <w:color w:val="000000"/>
          <w:sz w:val="24"/>
          <w:u w:val="none"/>
        </w:rPr>
      </w:pPr>
      <w:r>
        <w:rPr>
          <w:rFonts w:ascii="ArialMT" w:hAnsi="ArialMT"/>
          <w:b w:val="false"/>
          <w:i w:val="false"/>
          <w:color w:val="000000"/>
          <w:sz w:val="24"/>
          <w:u w:val="none"/>
        </w:rPr>
      </w:r>
    </w:p>
    <w:p>
      <w:pPr>
        <w:pStyle w:val="Heading4"/>
        <w:rPr>
          <w:rFonts w:ascii="ArialMT" w:hAnsi="ArialMT"/>
          <w:b w:val="false"/>
          <w:i w:val="false"/>
          <w:i w:val="false"/>
          <w:color w:val="000000"/>
          <w:sz w:val="24"/>
          <w:u w:val="none"/>
        </w:rPr>
      </w:pPr>
      <w:r>
        <w:rPr/>
        <w:t>Issue 3-3-3: SAN NR-ARFCN</w:t>
      </w:r>
    </w:p>
    <w:p>
      <w:pPr>
        <w:pStyle w:val="Normal"/>
        <w:numPr>
          <w:ilvl w:val="0"/>
          <w:numId w:val="5"/>
        </w:numPr>
        <w:tabs>
          <w:tab w:val="clear" w:pos="567"/>
          <w:tab w:val="left" w:pos="360" w:leader="none"/>
          <w:tab w:val="left" w:pos="720" w:leader="none"/>
        </w:tabs>
        <w:spacing w:before="0" w:after="120"/>
        <w:ind w:hanging="720" w:left="720"/>
        <w:rPr>
          <w:rFonts w:ascii="TimesNewRomanPS-BoldMT" w:hAnsi="TimesNewRomanPS-BoldMT"/>
          <w:b/>
          <w:i w:val="false"/>
          <w:i w:val="false"/>
          <w:color w:val="0B5AB2"/>
          <w:sz w:val="20"/>
          <w:u w:val="none"/>
        </w:rPr>
      </w:pPr>
      <w:r>
        <w:rPr>
          <w:rFonts w:ascii="TimesNewRomanPS-BoldMT" w:hAnsi="TimesNewRomanPS-BoldMT"/>
          <w:b/>
          <w:i w:val="false"/>
          <w:color w:val="0B5AB2"/>
          <w:sz w:val="20"/>
          <w:u w:val="none"/>
        </w:rPr>
        <w:t>Agreement</w:t>
      </w:r>
    </w:p>
    <w:p>
      <w:pPr>
        <w:pStyle w:val="Normal"/>
        <w:numPr>
          <w:ilvl w:val="1"/>
          <w:numId w:val="5"/>
        </w:numPr>
        <w:tabs>
          <w:tab w:val="clear" w:pos="567"/>
          <w:tab w:val="left" w:pos="1080" w:leader="none"/>
          <w:tab w:val="left" w:pos="1440" w:leader="none"/>
        </w:tabs>
        <w:spacing w:before="0" w:after="12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t>Specify the SAN NR-ARFCN for 100kHz channel raster for bands n253, n251 and n250 as follows:</w:t>
      </w:r>
    </w:p>
    <w:tbl>
      <w:tblPr>
        <w:tblW w:w="8748" w:type="dxa"/>
        <w:jc w:val="left"/>
        <w:tblInd w:w="-19" w:type="dxa"/>
        <w:tblLayout w:type="fixed"/>
        <w:tblCellMar>
          <w:top w:w="80" w:type="dxa"/>
          <w:left w:w="80" w:type="dxa"/>
          <w:bottom w:w="80" w:type="dxa"/>
          <w:right w:w="80" w:type="dxa"/>
        </w:tblCellMar>
      </w:tblPr>
      <w:tblGrid>
        <w:gridCol w:w="2268"/>
        <w:gridCol w:w="2160"/>
        <w:gridCol w:w="2160"/>
        <w:gridCol w:w="2159"/>
      </w:tblGrid>
      <w:tr>
        <w:trPr/>
        <w:tc>
          <w:tcPr>
            <w:tcW w:w="226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BoldMT" w:hAnsi="Arial-BoldMT"/>
                <w:b/>
                <w:i w:val="false"/>
                <w:color w:val="355BB7"/>
                <w:sz w:val="18"/>
                <w:u w:val="none"/>
              </w:rPr>
              <w:t>SAN operating band</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jc w:val="center"/>
              <w:rPr>
                <w:rFonts w:ascii="Arial-BoldMT" w:hAnsi="Arial-BoldMT"/>
                <w:b/>
                <w:i w:val="false"/>
                <w:i w:val="false"/>
                <w:color w:val="355BB7"/>
                <w:sz w:val="18"/>
                <w:u w:val="none"/>
              </w:rPr>
            </w:pPr>
            <w:r>
              <w:rPr>
                <w:rFonts w:ascii="Arial-BoldMT" w:hAnsi="Arial-BoldMT"/>
                <w:b/>
                <w:i w:val="false"/>
                <w:color w:val="355BB7"/>
                <w:sz w:val="18"/>
                <w:u w:val="none"/>
              </w:rPr>
              <w:t>ΔF</w:t>
            </w:r>
            <w:r>
              <w:rPr>
                <w:rFonts w:ascii="Arial-BoldMT" w:hAnsi="Arial-BoldMT"/>
                <w:b/>
                <w:i w:val="false"/>
                <w:color w:val="355BB7"/>
                <w:sz w:val="12"/>
                <w:u w:val="none"/>
                <w:vertAlign w:val="subscript"/>
              </w:rPr>
              <w:t>Raster</w:t>
            </w:r>
          </w:p>
          <w:p>
            <w:pPr>
              <w:pStyle w:val="Normal"/>
              <w:tabs>
                <w:tab w:val="clear" w:pos="567"/>
              </w:tabs>
              <w:spacing w:before="0" w:after="180"/>
              <w:jc w:val="center"/>
              <w:rPr/>
            </w:pPr>
            <w:r>
              <w:rPr>
                <w:rFonts w:ascii="Arial-BoldMT" w:hAnsi="Arial-BoldMT"/>
                <w:b/>
                <w:i w:val="false"/>
                <w:color w:val="355BB7"/>
                <w:sz w:val="18"/>
                <w:u w:val="none"/>
              </w:rPr>
              <w:t xml:space="preserve">(kHz) </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jc w:val="center"/>
              <w:rPr>
                <w:rFonts w:ascii="Arial-BoldMT" w:hAnsi="Arial-BoldMT"/>
                <w:b/>
                <w:i w:val="false"/>
                <w:i w:val="false"/>
                <w:color w:val="355BB7"/>
                <w:sz w:val="18"/>
                <w:u w:val="none"/>
              </w:rPr>
            </w:pPr>
            <w:r>
              <w:rPr>
                <w:rFonts w:ascii="Arial-BoldMT" w:hAnsi="Arial-BoldMT"/>
                <w:b/>
                <w:i w:val="false"/>
                <w:color w:val="355BB7"/>
                <w:sz w:val="18"/>
                <w:u w:val="none"/>
              </w:rPr>
              <w:t>Uplink</w:t>
            </w:r>
          </w:p>
          <w:p>
            <w:pPr>
              <w:pStyle w:val="Normal"/>
              <w:tabs>
                <w:tab w:val="clear" w:pos="567"/>
              </w:tabs>
              <w:jc w:val="center"/>
              <w:rPr>
                <w:rFonts w:ascii="Arial-BoldMT" w:hAnsi="Arial-BoldMT"/>
                <w:b/>
                <w:i w:val="false"/>
                <w:i w:val="false"/>
                <w:color w:val="355BB7"/>
                <w:sz w:val="12"/>
                <w:u w:val="none"/>
                <w:vertAlign w:val="subscript"/>
              </w:rPr>
            </w:pPr>
            <w:r>
              <w:rPr>
                <w:rFonts w:ascii="Arial-BoldMT" w:hAnsi="Arial-BoldMT"/>
                <w:b/>
                <w:i w:val="false"/>
                <w:color w:val="355BB7"/>
                <w:sz w:val="18"/>
                <w:u w:val="none"/>
              </w:rPr>
              <w:t>range of N</w:t>
            </w:r>
            <w:r>
              <w:rPr>
                <w:rFonts w:ascii="Arial-BoldMT" w:hAnsi="Arial-BoldMT"/>
                <w:b/>
                <w:i w:val="false"/>
                <w:color w:val="355BB7"/>
                <w:sz w:val="12"/>
                <w:u w:val="none"/>
                <w:vertAlign w:val="subscript"/>
              </w:rPr>
              <w:t>REF</w:t>
            </w:r>
          </w:p>
          <w:p>
            <w:pPr>
              <w:pStyle w:val="Normal"/>
              <w:tabs>
                <w:tab w:val="clear" w:pos="567"/>
              </w:tabs>
              <w:spacing w:before="0" w:after="180"/>
              <w:jc w:val="center"/>
              <w:rPr/>
            </w:pPr>
            <w:r>
              <w:rPr>
                <w:rFonts w:ascii="Arial-BoldMT" w:hAnsi="Arial-BoldMT"/>
                <w:b/>
                <w:i w:val="false"/>
                <w:color w:val="355BB7"/>
                <w:sz w:val="18"/>
                <w:u w:val="none"/>
              </w:rPr>
              <w:t>(First – &lt;Step size&gt; – Last)</w:t>
            </w:r>
          </w:p>
        </w:tc>
        <w:tc>
          <w:tcPr>
            <w:tcW w:w="2159" w:type="dxa"/>
            <w:tcBorders>
              <w:top w:val="single" w:sz="8" w:space="0" w:color="000000"/>
              <w:left w:val="single" w:sz="8" w:space="0" w:color="000000"/>
              <w:bottom w:val="single" w:sz="8" w:space="0" w:color="000000"/>
              <w:right w:val="single" w:sz="8" w:space="0" w:color="000000"/>
            </w:tcBorders>
          </w:tcPr>
          <w:p>
            <w:pPr>
              <w:pStyle w:val="Normal"/>
              <w:tabs>
                <w:tab w:val="clear" w:pos="567"/>
              </w:tabs>
              <w:jc w:val="center"/>
              <w:rPr>
                <w:rFonts w:ascii="Arial-BoldMT" w:hAnsi="Arial-BoldMT"/>
                <w:b/>
                <w:i w:val="false"/>
                <w:i w:val="false"/>
                <w:color w:val="355BB7"/>
                <w:sz w:val="18"/>
                <w:u w:val="none"/>
              </w:rPr>
            </w:pPr>
            <w:r>
              <w:rPr>
                <w:rFonts w:ascii="Arial-BoldMT" w:hAnsi="Arial-BoldMT"/>
                <w:b/>
                <w:i w:val="false"/>
                <w:color w:val="355BB7"/>
                <w:sz w:val="18"/>
                <w:u w:val="none"/>
              </w:rPr>
              <w:t>Downlink</w:t>
            </w:r>
          </w:p>
          <w:p>
            <w:pPr>
              <w:pStyle w:val="Normal"/>
              <w:tabs>
                <w:tab w:val="clear" w:pos="567"/>
              </w:tabs>
              <w:jc w:val="center"/>
              <w:rPr>
                <w:rFonts w:ascii="Arial-BoldMT" w:hAnsi="Arial-BoldMT"/>
                <w:b/>
                <w:i w:val="false"/>
                <w:i w:val="false"/>
                <w:color w:val="355BB7"/>
                <w:sz w:val="12"/>
                <w:u w:val="none"/>
                <w:vertAlign w:val="subscript"/>
              </w:rPr>
            </w:pPr>
            <w:r>
              <w:rPr>
                <w:rFonts w:ascii="Arial-BoldMT" w:hAnsi="Arial-BoldMT"/>
                <w:b/>
                <w:i w:val="false"/>
                <w:color w:val="355BB7"/>
                <w:sz w:val="18"/>
                <w:u w:val="none"/>
              </w:rPr>
              <w:t>range of N</w:t>
            </w:r>
            <w:r>
              <w:rPr>
                <w:rFonts w:ascii="Arial-BoldMT" w:hAnsi="Arial-BoldMT"/>
                <w:b/>
                <w:i w:val="false"/>
                <w:color w:val="355BB7"/>
                <w:sz w:val="12"/>
                <w:u w:val="none"/>
                <w:vertAlign w:val="subscript"/>
              </w:rPr>
              <w:t>REF</w:t>
            </w:r>
          </w:p>
          <w:p>
            <w:pPr>
              <w:pStyle w:val="Normal"/>
              <w:tabs>
                <w:tab w:val="clear" w:pos="567"/>
              </w:tabs>
              <w:spacing w:before="0" w:after="180"/>
              <w:jc w:val="center"/>
              <w:rPr/>
            </w:pPr>
            <w:r>
              <w:rPr>
                <w:rFonts w:ascii="Arial-BoldMT" w:hAnsi="Arial-BoldMT"/>
                <w:b/>
                <w:i w:val="false"/>
                <w:color w:val="355BB7"/>
                <w:sz w:val="18"/>
                <w:u w:val="none"/>
              </w:rPr>
              <w:t>(First – &lt;Step size&gt; – Last)</w:t>
            </w:r>
          </w:p>
        </w:tc>
      </w:tr>
      <w:tr>
        <w:trPr/>
        <w:tc>
          <w:tcPr>
            <w:tcW w:w="2268"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n253</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100</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333600– &lt;20&gt; – 335000</w:t>
            </w:r>
          </w:p>
        </w:tc>
        <w:tc>
          <w:tcPr>
            <w:tcW w:w="2159"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303600 – &lt;20&gt; – 305000</w:t>
            </w:r>
          </w:p>
        </w:tc>
      </w:tr>
      <w:tr>
        <w:trPr/>
        <w:tc>
          <w:tcPr>
            <w:tcW w:w="2268"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n251</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100</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325300– &lt;20&gt; – 332100</w:t>
            </w:r>
          </w:p>
        </w:tc>
        <w:tc>
          <w:tcPr>
            <w:tcW w:w="2159"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303600 – &lt;20&gt; – 311800</w:t>
            </w:r>
          </w:p>
        </w:tc>
      </w:tr>
      <w:tr>
        <w:trPr/>
        <w:tc>
          <w:tcPr>
            <w:tcW w:w="2268"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n250</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100</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333600– &lt;20&gt; – 335000</w:t>
            </w:r>
          </w:p>
        </w:tc>
        <w:tc>
          <w:tcPr>
            <w:tcW w:w="2159"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303600 – &lt;20&gt; – 311800</w:t>
            </w:r>
          </w:p>
        </w:tc>
      </w:tr>
    </w:tbl>
    <w:p>
      <w:pPr>
        <w:pStyle w:val="Normal"/>
        <w:spacing w:before="0" w:after="12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r>
    </w:p>
    <w:p>
      <w:pPr>
        <w:pStyle w:val="Normal"/>
        <w:spacing w:before="0" w:after="12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r>
    </w:p>
    <w:p>
      <w:pPr>
        <w:pStyle w:val="Heading4"/>
        <w:rPr>
          <w:rFonts w:ascii="ArialMT" w:hAnsi="ArialMT"/>
          <w:b w:val="false"/>
          <w:i w:val="false"/>
          <w:i w:val="false"/>
          <w:color w:val="000000"/>
          <w:sz w:val="24"/>
          <w:u w:val="none"/>
        </w:rPr>
      </w:pPr>
      <w:r>
        <w:rPr/>
        <w:t>Issue 3-3-4: SAN NR-ARFCN for enhanced channel raster</w:t>
      </w:r>
    </w:p>
    <w:p>
      <w:pPr>
        <w:pStyle w:val="Normal"/>
        <w:numPr>
          <w:ilvl w:val="0"/>
          <w:numId w:val="13"/>
        </w:numPr>
        <w:tabs>
          <w:tab w:val="clear" w:pos="567"/>
          <w:tab w:val="left" w:pos="360" w:leader="none"/>
          <w:tab w:val="left" w:pos="720" w:leader="none"/>
        </w:tabs>
        <w:spacing w:before="0" w:after="120"/>
        <w:ind w:hanging="0" w:left="720"/>
        <w:rPr>
          <w:rFonts w:ascii="TimesNewRomanPS-BoldMT" w:hAnsi="TimesNewRomanPS-BoldMT"/>
          <w:b/>
          <w:i w:val="false"/>
          <w:i w:val="false"/>
          <w:color w:val="0B5AB2"/>
          <w:sz w:val="20"/>
          <w:u w:val="none"/>
        </w:rPr>
      </w:pPr>
      <w:r>
        <w:rPr>
          <w:rFonts w:ascii="TimesNewRomanPS-BoldMT" w:hAnsi="TimesNewRomanPS-BoldMT"/>
          <w:b/>
          <w:i w:val="false"/>
          <w:color w:val="0B5AB2"/>
          <w:sz w:val="20"/>
          <w:u w:val="none"/>
        </w:rPr>
        <w:t>Agreement</w:t>
      </w:r>
    </w:p>
    <w:p>
      <w:pPr>
        <w:pStyle w:val="Normal"/>
        <w:numPr>
          <w:ilvl w:val="2"/>
          <w:numId w:val="13"/>
        </w:numPr>
        <w:tabs>
          <w:tab w:val="clear" w:pos="567"/>
          <w:tab w:val="left" w:pos="360" w:leader="none"/>
          <w:tab w:val="left" w:pos="720" w:leader="none"/>
        </w:tabs>
        <w:spacing w:before="0" w:after="120"/>
        <w:rPr>
          <w:rFonts w:ascii="TimesNewRomanPS-BoldMT" w:hAnsi="TimesNewRomanPS-BoldMT"/>
          <w:b/>
          <w:i w:val="false"/>
          <w:i w:val="false"/>
          <w:color w:val="0B5AB2"/>
          <w:sz w:val="20"/>
          <w:u w:val="none"/>
        </w:rPr>
      </w:pPr>
      <w:r>
        <w:rPr>
          <w:rFonts w:ascii="TimesNewRomanPSMT" w:hAnsi="TimesNewRomanPSMT"/>
          <w:b w:val="false"/>
          <w:i w:val="false"/>
          <w:color w:val="0B5AB2"/>
          <w:sz w:val="20"/>
          <w:u w:val="none"/>
        </w:rPr>
        <w:t>Specify the SAN NR-ARFCN for 10kHz enhanced channel raster for bands n253, n251 and n250 as follows:</w:t>
      </w:r>
    </w:p>
    <w:tbl>
      <w:tblPr>
        <w:tblW w:w="8748" w:type="dxa"/>
        <w:jc w:val="left"/>
        <w:tblInd w:w="-19" w:type="dxa"/>
        <w:tblLayout w:type="fixed"/>
        <w:tblCellMar>
          <w:top w:w="80" w:type="dxa"/>
          <w:left w:w="80" w:type="dxa"/>
          <w:bottom w:w="80" w:type="dxa"/>
          <w:right w:w="80" w:type="dxa"/>
        </w:tblCellMar>
      </w:tblPr>
      <w:tblGrid>
        <w:gridCol w:w="2268"/>
        <w:gridCol w:w="2160"/>
        <w:gridCol w:w="2160"/>
        <w:gridCol w:w="2159"/>
      </w:tblGrid>
      <w:tr>
        <w:trPr/>
        <w:tc>
          <w:tcPr>
            <w:tcW w:w="226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BoldMT" w:hAnsi="Arial-BoldMT"/>
                <w:b/>
                <w:i w:val="false"/>
                <w:color w:val="355BB7"/>
                <w:sz w:val="18"/>
                <w:u w:val="none"/>
              </w:rPr>
              <w:t>SAN operating band</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jc w:val="center"/>
              <w:rPr>
                <w:rFonts w:ascii="Arial-BoldMT" w:hAnsi="Arial-BoldMT"/>
                <w:b/>
                <w:i w:val="false"/>
                <w:i w:val="false"/>
                <w:color w:val="355BB7"/>
                <w:sz w:val="18"/>
                <w:u w:val="none"/>
              </w:rPr>
            </w:pPr>
            <w:r>
              <w:rPr>
                <w:rFonts w:ascii="Arial-BoldMT" w:hAnsi="Arial-BoldMT"/>
                <w:b/>
                <w:i w:val="false"/>
                <w:color w:val="355BB7"/>
                <w:sz w:val="18"/>
                <w:u w:val="none"/>
              </w:rPr>
              <w:t>ΔF</w:t>
            </w:r>
            <w:r>
              <w:rPr>
                <w:rFonts w:ascii="Arial-BoldMT" w:hAnsi="Arial-BoldMT"/>
                <w:b/>
                <w:i w:val="false"/>
                <w:color w:val="355BB7"/>
                <w:sz w:val="12"/>
                <w:u w:val="none"/>
                <w:vertAlign w:val="subscript"/>
              </w:rPr>
              <w:t>Raster</w:t>
            </w:r>
          </w:p>
          <w:p>
            <w:pPr>
              <w:pStyle w:val="Normal"/>
              <w:tabs>
                <w:tab w:val="clear" w:pos="567"/>
              </w:tabs>
              <w:spacing w:before="0" w:after="180"/>
              <w:jc w:val="center"/>
              <w:rPr/>
            </w:pPr>
            <w:r>
              <w:rPr>
                <w:rFonts w:ascii="Arial-BoldMT" w:hAnsi="Arial-BoldMT"/>
                <w:b/>
                <w:i w:val="false"/>
                <w:color w:val="355BB7"/>
                <w:sz w:val="18"/>
                <w:u w:val="none"/>
              </w:rPr>
              <w:t xml:space="preserve">(kHz) </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jc w:val="center"/>
              <w:rPr>
                <w:rFonts w:ascii="Arial-BoldMT" w:hAnsi="Arial-BoldMT"/>
                <w:b/>
                <w:i w:val="false"/>
                <w:i w:val="false"/>
                <w:color w:val="355BB7"/>
                <w:sz w:val="18"/>
                <w:u w:val="none"/>
              </w:rPr>
            </w:pPr>
            <w:r>
              <w:rPr>
                <w:rFonts w:ascii="Arial-BoldMT" w:hAnsi="Arial-BoldMT"/>
                <w:b/>
                <w:i w:val="false"/>
                <w:color w:val="355BB7"/>
                <w:sz w:val="18"/>
                <w:u w:val="none"/>
              </w:rPr>
              <w:t>Uplink</w:t>
            </w:r>
          </w:p>
          <w:p>
            <w:pPr>
              <w:pStyle w:val="Normal"/>
              <w:tabs>
                <w:tab w:val="clear" w:pos="567"/>
              </w:tabs>
              <w:jc w:val="center"/>
              <w:rPr>
                <w:rFonts w:ascii="Arial-BoldMT" w:hAnsi="Arial-BoldMT"/>
                <w:b/>
                <w:i w:val="false"/>
                <w:i w:val="false"/>
                <w:color w:val="355BB7"/>
                <w:sz w:val="12"/>
                <w:u w:val="none"/>
                <w:vertAlign w:val="subscript"/>
              </w:rPr>
            </w:pPr>
            <w:r>
              <w:rPr>
                <w:rFonts w:ascii="Arial-BoldMT" w:hAnsi="Arial-BoldMT"/>
                <w:b/>
                <w:i w:val="false"/>
                <w:color w:val="355BB7"/>
                <w:sz w:val="18"/>
                <w:u w:val="none"/>
              </w:rPr>
              <w:t>range of N</w:t>
            </w:r>
            <w:r>
              <w:rPr>
                <w:rFonts w:ascii="Arial-BoldMT" w:hAnsi="Arial-BoldMT"/>
                <w:b/>
                <w:i w:val="false"/>
                <w:color w:val="355BB7"/>
                <w:sz w:val="12"/>
                <w:u w:val="none"/>
                <w:vertAlign w:val="subscript"/>
              </w:rPr>
              <w:t>REF</w:t>
            </w:r>
          </w:p>
          <w:p>
            <w:pPr>
              <w:pStyle w:val="Normal"/>
              <w:tabs>
                <w:tab w:val="clear" w:pos="567"/>
              </w:tabs>
              <w:spacing w:before="0" w:after="180"/>
              <w:jc w:val="center"/>
              <w:rPr/>
            </w:pPr>
            <w:r>
              <w:rPr>
                <w:rFonts w:ascii="Arial-BoldMT" w:hAnsi="Arial-BoldMT"/>
                <w:b/>
                <w:i w:val="false"/>
                <w:color w:val="355BB7"/>
                <w:sz w:val="18"/>
                <w:u w:val="none"/>
              </w:rPr>
              <w:t>(First – &lt;Step size&gt; – Last)</w:t>
            </w:r>
          </w:p>
        </w:tc>
        <w:tc>
          <w:tcPr>
            <w:tcW w:w="2159" w:type="dxa"/>
            <w:tcBorders>
              <w:top w:val="single" w:sz="8" w:space="0" w:color="000000"/>
              <w:left w:val="single" w:sz="8" w:space="0" w:color="000000"/>
              <w:bottom w:val="single" w:sz="8" w:space="0" w:color="000000"/>
              <w:right w:val="single" w:sz="8" w:space="0" w:color="000000"/>
            </w:tcBorders>
          </w:tcPr>
          <w:p>
            <w:pPr>
              <w:pStyle w:val="Normal"/>
              <w:tabs>
                <w:tab w:val="clear" w:pos="567"/>
              </w:tabs>
              <w:jc w:val="center"/>
              <w:rPr>
                <w:rFonts w:ascii="Arial-BoldMT" w:hAnsi="Arial-BoldMT"/>
                <w:b/>
                <w:i w:val="false"/>
                <w:i w:val="false"/>
                <w:color w:val="355BB7"/>
                <w:sz w:val="18"/>
                <w:u w:val="none"/>
              </w:rPr>
            </w:pPr>
            <w:r>
              <w:rPr>
                <w:rFonts w:ascii="Arial-BoldMT" w:hAnsi="Arial-BoldMT"/>
                <w:b/>
                <w:i w:val="false"/>
                <w:color w:val="355BB7"/>
                <w:sz w:val="18"/>
                <w:u w:val="none"/>
              </w:rPr>
              <w:t>Downlink</w:t>
            </w:r>
          </w:p>
          <w:p>
            <w:pPr>
              <w:pStyle w:val="Normal"/>
              <w:tabs>
                <w:tab w:val="clear" w:pos="567"/>
              </w:tabs>
              <w:jc w:val="center"/>
              <w:rPr>
                <w:rFonts w:ascii="Arial-BoldMT" w:hAnsi="Arial-BoldMT"/>
                <w:b/>
                <w:i w:val="false"/>
                <w:i w:val="false"/>
                <w:color w:val="355BB7"/>
                <w:sz w:val="12"/>
                <w:u w:val="none"/>
                <w:vertAlign w:val="subscript"/>
              </w:rPr>
            </w:pPr>
            <w:r>
              <w:rPr>
                <w:rFonts w:ascii="Arial-BoldMT" w:hAnsi="Arial-BoldMT"/>
                <w:b/>
                <w:i w:val="false"/>
                <w:color w:val="355BB7"/>
                <w:sz w:val="18"/>
                <w:u w:val="none"/>
              </w:rPr>
              <w:t>range of N</w:t>
            </w:r>
            <w:r>
              <w:rPr>
                <w:rFonts w:ascii="Arial-BoldMT" w:hAnsi="Arial-BoldMT"/>
                <w:b/>
                <w:i w:val="false"/>
                <w:color w:val="355BB7"/>
                <w:sz w:val="12"/>
                <w:u w:val="none"/>
                <w:vertAlign w:val="subscript"/>
              </w:rPr>
              <w:t>REF</w:t>
            </w:r>
          </w:p>
          <w:p>
            <w:pPr>
              <w:pStyle w:val="Normal"/>
              <w:tabs>
                <w:tab w:val="clear" w:pos="567"/>
              </w:tabs>
              <w:spacing w:before="0" w:after="180"/>
              <w:jc w:val="center"/>
              <w:rPr/>
            </w:pPr>
            <w:r>
              <w:rPr>
                <w:rFonts w:ascii="Arial-BoldMT" w:hAnsi="Arial-BoldMT"/>
                <w:b/>
                <w:i w:val="false"/>
                <w:color w:val="355BB7"/>
                <w:sz w:val="18"/>
                <w:u w:val="none"/>
              </w:rPr>
              <w:t>(First – &lt;Step size&gt; – Last)</w:t>
            </w:r>
          </w:p>
        </w:tc>
      </w:tr>
      <w:tr>
        <w:trPr/>
        <w:tc>
          <w:tcPr>
            <w:tcW w:w="2268"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n253</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10</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333600– &lt;2&gt; – 335000</w:t>
            </w:r>
          </w:p>
        </w:tc>
        <w:tc>
          <w:tcPr>
            <w:tcW w:w="2159"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303600 – &lt;2&gt; – 305000</w:t>
            </w:r>
          </w:p>
        </w:tc>
      </w:tr>
      <w:tr>
        <w:trPr/>
        <w:tc>
          <w:tcPr>
            <w:tcW w:w="2268"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n251</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10</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325300– &lt;2&gt; – 332100</w:t>
            </w:r>
          </w:p>
        </w:tc>
        <w:tc>
          <w:tcPr>
            <w:tcW w:w="2159"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303600 – &lt;2&gt; – 311800</w:t>
            </w:r>
          </w:p>
        </w:tc>
      </w:tr>
      <w:tr>
        <w:trPr/>
        <w:tc>
          <w:tcPr>
            <w:tcW w:w="2268" w:type="dxa"/>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jc w:val="center"/>
              <w:rPr/>
            </w:pPr>
            <w:r>
              <w:rPr>
                <w:rFonts w:ascii="ArialMT" w:hAnsi="ArialMT"/>
                <w:b w:val="false"/>
                <w:i w:val="false"/>
                <w:color w:val="355BB7"/>
                <w:sz w:val="18"/>
                <w:u w:val="none"/>
              </w:rPr>
              <w:t>n250</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10</w:t>
            </w:r>
          </w:p>
        </w:tc>
        <w:tc>
          <w:tcPr>
            <w:tcW w:w="216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333600– &lt;2&gt; – 335000</w:t>
            </w:r>
          </w:p>
        </w:tc>
        <w:tc>
          <w:tcPr>
            <w:tcW w:w="2159"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303600 – &lt;2&gt; – 311800</w:t>
            </w:r>
          </w:p>
        </w:tc>
      </w:tr>
      <w:tr>
        <w:trPr/>
        <w:tc>
          <w:tcPr>
            <w:tcW w:w="8747" w:type="dxa"/>
            <w:gridSpan w:val="4"/>
            <w:tcBorders>
              <w:top w:val="single" w:sz="8" w:space="0" w:color="000000"/>
              <w:left w:val="single" w:sz="8" w:space="0" w:color="000000"/>
              <w:bottom w:val="single" w:sz="8" w:space="0" w:color="000000"/>
              <w:right w:val="single" w:sz="8" w:space="0" w:color="000000"/>
            </w:tcBorders>
            <w:vAlign w:val="center"/>
          </w:tcPr>
          <w:p>
            <w:pPr>
              <w:pStyle w:val="Normal"/>
              <w:tabs>
                <w:tab w:val="clear" w:pos="567"/>
              </w:tabs>
              <w:spacing w:before="0" w:after="180"/>
              <w:ind w:hanging="851" w:left="851"/>
              <w:rPr/>
            </w:pPr>
            <w:r>
              <w:rPr>
                <w:rFonts w:ascii="ArialMT" w:hAnsi="ArialMT"/>
                <w:b w:val="false"/>
                <w:i w:val="false"/>
                <w:color w:val="355BB7"/>
                <w:sz w:val="18"/>
                <w:u w:val="none"/>
              </w:rPr>
              <w:t>NOTE 1:</w:t>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Pr>
        <w:pStyle w:val="Normal"/>
        <w:spacing w:before="0" w:after="12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r>
    </w:p>
    <w:p>
      <w:pPr>
        <w:pStyle w:val="Heading4"/>
        <w:rPr>
          <w:rFonts w:ascii="ArialMT" w:hAnsi="ArialMT"/>
          <w:b w:val="false"/>
          <w:i w:val="false"/>
          <w:i w:val="false"/>
          <w:color w:val="000000"/>
          <w:sz w:val="24"/>
          <w:u w:val="none"/>
        </w:rPr>
      </w:pPr>
      <w:r>
        <w:rPr/>
        <w:t>Issue 3-3-5: SAN SS Raster</w:t>
      </w:r>
    </w:p>
    <w:p>
      <w:pPr>
        <w:pStyle w:val="Normal"/>
        <w:numPr>
          <w:ilvl w:val="0"/>
          <w:numId w:val="7"/>
        </w:numPr>
        <w:tabs>
          <w:tab w:val="clear" w:pos="567"/>
          <w:tab w:val="left" w:pos="360" w:leader="none"/>
          <w:tab w:val="left" w:pos="720" w:leader="none"/>
        </w:tabs>
        <w:spacing w:before="0" w:after="120"/>
        <w:ind w:hanging="720" w:left="720"/>
        <w:rPr>
          <w:rFonts w:ascii="TimesNewRomanPS-BoldMT" w:hAnsi="TimesNewRomanPS-BoldMT"/>
          <w:b/>
          <w:i w:val="false"/>
          <w:i w:val="false"/>
          <w:color w:val="0B5AB2"/>
          <w:sz w:val="20"/>
          <w:u w:val="none"/>
        </w:rPr>
      </w:pPr>
      <w:r>
        <w:rPr>
          <w:rFonts w:ascii="TimesNewRomanPS-BoldMT" w:hAnsi="TimesNewRomanPS-BoldMT"/>
          <w:b/>
          <w:i w:val="false"/>
          <w:color w:val="0B5AB2"/>
          <w:sz w:val="20"/>
          <w:u w:val="none"/>
        </w:rPr>
        <w:t>Agreement</w:t>
      </w:r>
    </w:p>
    <w:p>
      <w:pPr>
        <w:pStyle w:val="Normal"/>
        <w:numPr>
          <w:ilvl w:val="1"/>
          <w:numId w:val="7"/>
        </w:numPr>
        <w:tabs>
          <w:tab w:val="clear" w:pos="567"/>
          <w:tab w:val="left" w:pos="1080" w:leader="none"/>
          <w:tab w:val="left" w:pos="1440" w:leader="none"/>
        </w:tabs>
        <w:spacing w:before="0" w:after="120"/>
        <w:ind w:hanging="1440" w:left="1440"/>
        <w:rPr>
          <w:rFonts w:ascii="TimesNewRomanPS-BoldMT" w:hAnsi="TimesNewRomanPS-BoldMT"/>
          <w:b/>
          <w:i w:val="false"/>
          <w:i w:val="false"/>
          <w:color w:val="0B5AB2"/>
          <w:sz w:val="20"/>
          <w:u w:val="none"/>
        </w:rPr>
      </w:pPr>
      <w:r>
        <w:rPr>
          <w:rFonts w:ascii="TimesNewRomanPS-BoldMT" w:hAnsi="TimesNewRomanPS-BoldMT"/>
          <w:b/>
          <w:i w:val="false"/>
          <w:color w:val="0B5AB2"/>
          <w:sz w:val="20"/>
          <w:u w:val="none"/>
        </w:rPr>
        <w:t>FFS</w:t>
      </w:r>
    </w:p>
    <w:p>
      <w:pPr>
        <w:pStyle w:val="Normal"/>
        <w:spacing w:before="0" w:after="12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r>
    </w:p>
    <w:p>
      <w:pPr>
        <w:pStyle w:val="Heading4"/>
        <w:rPr>
          <w:rFonts w:ascii="ArialMT" w:hAnsi="ArialMT"/>
          <w:b w:val="false"/>
          <w:i w:val="false"/>
          <w:i w:val="false"/>
          <w:color w:val="000000"/>
          <w:sz w:val="24"/>
          <w:u w:val="none"/>
        </w:rPr>
      </w:pPr>
      <w:r>
        <w:rPr/>
        <w:t>Sub-topic 3-4: RRM Requirements</w:t>
      </w:r>
    </w:p>
    <w:p>
      <w:pPr>
        <w:pStyle w:val="Normal"/>
        <w:spacing w:before="0" w:after="180"/>
        <w:rPr>
          <w:rFonts w:ascii="TimesNewRomanPS-ItalicMT" w:hAnsi="TimesNewRomanPS-ItalicMT"/>
          <w:b w:val="false"/>
          <w:i/>
          <w:i/>
          <w:color w:val="0B5AB2"/>
          <w:sz w:val="20"/>
          <w:u w:val="none"/>
        </w:rPr>
      </w:pPr>
      <w:r>
        <w:rPr>
          <w:rFonts w:ascii="TimesNewRomanPS-ItalicMT" w:hAnsi="TimesNewRomanPS-ItalicMT"/>
          <w:b w:val="false"/>
          <w:i/>
          <w:color w:val="0B5AB2"/>
          <w:sz w:val="20"/>
          <w:u w:val="none"/>
        </w:rPr>
        <w:t>Sub-topic description: RRM aspects</w:t>
      </w:r>
    </w:p>
    <w:p>
      <w:pPr>
        <w:pStyle w:val="Heading4"/>
        <w:rPr>
          <w:rFonts w:ascii="ArialMT" w:hAnsi="ArialMT"/>
          <w:b w:val="false"/>
          <w:i w:val="false"/>
          <w:i w:val="false"/>
          <w:color w:val="000000"/>
          <w:sz w:val="24"/>
          <w:u w:val="none"/>
        </w:rPr>
      </w:pPr>
      <w:r>
        <w:rPr/>
        <w:t>Issue 3-4-1: Band grouping</w:t>
      </w:r>
    </w:p>
    <w:p>
      <w:pPr>
        <w:pStyle w:val="Normal"/>
        <w:numPr>
          <w:ilvl w:val="0"/>
          <w:numId w:val="8"/>
        </w:numPr>
        <w:tabs>
          <w:tab w:val="clear" w:pos="567"/>
          <w:tab w:val="left" w:pos="360" w:leader="none"/>
          <w:tab w:val="left" w:pos="720" w:leader="none"/>
        </w:tabs>
        <w:spacing w:before="0" w:after="120"/>
        <w:ind w:hanging="720" w:left="720"/>
        <w:rPr>
          <w:rFonts w:ascii="TimesNewRomanPS-BoldMT" w:hAnsi="TimesNewRomanPS-BoldMT"/>
          <w:b/>
          <w:i w:val="false"/>
          <w:i w:val="false"/>
          <w:color w:val="0B5AB2"/>
          <w:sz w:val="20"/>
          <w:u w:val="none"/>
        </w:rPr>
      </w:pPr>
      <w:r>
        <w:rPr>
          <w:rFonts w:ascii="TimesNewRomanPS-BoldMT" w:hAnsi="TimesNewRomanPS-BoldMT"/>
          <w:b/>
          <w:i w:val="false"/>
          <w:color w:val="0B5AB2"/>
          <w:sz w:val="20"/>
          <w:u w:val="none"/>
        </w:rPr>
        <w:t>Agreement:</w:t>
      </w:r>
    </w:p>
    <w:p>
      <w:pPr>
        <w:pStyle w:val="Normal"/>
        <w:numPr>
          <w:ilvl w:val="1"/>
          <w:numId w:val="8"/>
        </w:numPr>
        <w:tabs>
          <w:tab w:val="clear" w:pos="567"/>
          <w:tab w:val="left" w:pos="1080" w:leader="none"/>
          <w:tab w:val="left" w:pos="1440" w:leader="none"/>
        </w:tabs>
        <w:spacing w:before="0" w:after="120"/>
        <w:ind w:hanging="1440" w:left="144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t>Agree Option 1 as follows</w:t>
      </w:r>
    </w:p>
    <w:p>
      <w:pPr>
        <w:pStyle w:val="Normal"/>
        <w:numPr>
          <w:ilvl w:val="0"/>
          <w:numId w:val="8"/>
        </w:numPr>
        <w:tabs>
          <w:tab w:val="clear" w:pos="567"/>
          <w:tab w:val="left" w:pos="576" w:leader="none"/>
          <w:tab w:val="left" w:pos="936" w:leader="none"/>
        </w:tabs>
        <w:spacing w:before="0" w:after="180"/>
        <w:ind w:hanging="936" w:left="936"/>
        <w:jc w:val="center"/>
        <w:rPr>
          <w:rFonts w:ascii="Arial-BoldMT" w:hAnsi="Arial-BoldMT"/>
          <w:b/>
          <w:i w:val="false"/>
          <w:i w:val="false"/>
          <w:color w:val="355BB7"/>
          <w:sz w:val="20"/>
          <w:u w:val="none"/>
        </w:rPr>
      </w:pPr>
      <w:r>
        <w:rPr>
          <w:rFonts w:ascii="Arial-BoldMT" w:hAnsi="Arial-BoldMT"/>
          <w:b/>
          <w:i w:val="false"/>
          <w:color w:val="355BB7"/>
          <w:sz w:val="20"/>
          <w:u w:val="none"/>
        </w:rPr>
        <w:t>Table 3.5.2A-1: NR frequency band groups for satellite access in FR1</w:t>
      </w:r>
    </w:p>
    <w:tbl>
      <w:tblPr>
        <w:tblW w:w="8748" w:type="dxa"/>
        <w:jc w:val="left"/>
        <w:tblInd w:w="-19" w:type="dxa"/>
        <w:tblLayout w:type="fixed"/>
        <w:tblCellMar>
          <w:top w:w="80" w:type="dxa"/>
          <w:left w:w="80" w:type="dxa"/>
          <w:bottom w:w="80" w:type="dxa"/>
          <w:right w:w="80" w:type="dxa"/>
        </w:tblCellMar>
      </w:tblPr>
      <w:tblGrid>
        <w:gridCol w:w="2988"/>
        <w:gridCol w:w="2880"/>
        <w:gridCol w:w="2880"/>
      </w:tblGrid>
      <w:tr>
        <w:trPr/>
        <w:tc>
          <w:tcPr>
            <w:tcW w:w="2988" w:type="dxa"/>
            <w:tcBorders>
              <w:top w:val="single" w:sz="8" w:space="0" w:color="000000"/>
              <w:left w:val="single" w:sz="8" w:space="0" w:color="000000"/>
              <w:right w:val="single" w:sz="8" w:space="0" w:color="000000"/>
            </w:tcBorders>
          </w:tcPr>
          <w:p>
            <w:pPr>
              <w:pStyle w:val="Normal"/>
              <w:tabs>
                <w:tab w:val="clear" w:pos="567"/>
              </w:tabs>
              <w:spacing w:before="0" w:after="180"/>
              <w:jc w:val="center"/>
              <w:rPr/>
            </w:pPr>
            <w:r>
              <w:rPr>
                <w:rFonts w:ascii="Arial-BoldMT" w:hAnsi="Arial-BoldMT"/>
                <w:b/>
                <w:i w:val="false"/>
                <w:color w:val="355BB7"/>
                <w:sz w:val="18"/>
                <w:u w:val="none"/>
              </w:rPr>
              <w:t>Group</w:t>
            </w:r>
          </w:p>
        </w:tc>
        <w:tc>
          <w:tcPr>
            <w:tcW w:w="5760" w:type="dxa"/>
            <w:gridSpan w:val="2"/>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BoldMT" w:hAnsi="Arial-BoldMT"/>
                <w:b/>
                <w:i w:val="false"/>
                <w:color w:val="355BB7"/>
                <w:sz w:val="18"/>
                <w:u w:val="none"/>
              </w:rPr>
              <w:t>NR FDD</w:t>
            </w:r>
          </w:p>
        </w:tc>
      </w:tr>
      <w:tr>
        <w:trPr/>
        <w:tc>
          <w:tcPr>
            <w:tcW w:w="2988" w:type="dxa"/>
            <w:tcBorders>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BoldMT" w:hAnsi="Arial-BoldMT"/>
                <w:b/>
                <w:i w:val="false"/>
                <w:color w:val="355BB7"/>
                <w:sz w:val="18"/>
                <w:u w:val="none"/>
              </w:rPr>
              <w:t>Band group notation</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BoldMT" w:hAnsi="Arial-BoldMT"/>
                <w:b/>
                <w:i w:val="false"/>
                <w:color w:val="355BB7"/>
                <w:sz w:val="18"/>
                <w:u w:val="none"/>
              </w:rPr>
              <w:t>Operating bands</w:t>
            </w:r>
          </w:p>
        </w:tc>
      </w:tr>
      <w:tr>
        <w:trPr/>
        <w:tc>
          <w:tcPr>
            <w:tcW w:w="298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A</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NR_FDD_SAB_FR1_A</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rPr/>
            </w:pPr>
            <w:r>
              <w:rPr>
                <w:rFonts w:ascii="ArialMT" w:hAnsi="ArialMT"/>
                <w:b w:val="false"/>
                <w:i w:val="false"/>
                <w:color w:val="355BB7"/>
                <w:sz w:val="18"/>
                <w:u w:val="none"/>
              </w:rPr>
              <w:t xml:space="preserve">n254, n255, n256, n253, n251, n250, </w:t>
            </w:r>
          </w:p>
        </w:tc>
      </w:tr>
      <w:tr>
        <w:trPr/>
        <w:tc>
          <w:tcPr>
            <w:tcW w:w="298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B</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NR_FDD_SAB_FR1_B</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r>
      <w:tr>
        <w:trPr/>
        <w:tc>
          <w:tcPr>
            <w:tcW w:w="298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C</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NR_FDD_SAB_FR1_C</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r>
      <w:tr>
        <w:trPr/>
        <w:tc>
          <w:tcPr>
            <w:tcW w:w="298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D</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NR_FDD_SAB_FR1_D</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r>
      <w:tr>
        <w:trPr/>
        <w:tc>
          <w:tcPr>
            <w:tcW w:w="298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E</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NR_FDD_SAB_FR1_E</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r>
      <w:tr>
        <w:trPr/>
        <w:tc>
          <w:tcPr>
            <w:tcW w:w="298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F</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NR_FDD_SAB_FR1_F</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r>
      <w:tr>
        <w:trPr/>
        <w:tc>
          <w:tcPr>
            <w:tcW w:w="298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G</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NR_FDD_SAB_FR1_G</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r>
      <w:tr>
        <w:trPr/>
        <w:tc>
          <w:tcPr>
            <w:tcW w:w="298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H</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NR_FDD_SAB_FR1_H</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r>
      <w:tr>
        <w:trPr/>
        <w:tc>
          <w:tcPr>
            <w:tcW w:w="298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I</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NR_FDD_SAB_FR1_I</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Helvetica" w:hAnsi="Helvetica"/>
                <w:b w:val="false"/>
                <w:i w:val="false"/>
                <w:i w:val="false"/>
                <w:color w:val="auto"/>
                <w:sz w:val="24"/>
                <w:u w:val="none"/>
              </w:rPr>
            </w:pPr>
            <w:r>
              <w:rPr>
                <w:rFonts w:ascii="Helvetica" w:hAnsi="Helvetica"/>
                <w:b w:val="false"/>
                <w:i w:val="false"/>
                <w:color w:val="auto"/>
                <w:sz w:val="24"/>
                <w:u w:val="none"/>
              </w:rPr>
            </w:r>
          </w:p>
        </w:tc>
      </w:tr>
      <w:tr>
        <w:trPr/>
        <w:tc>
          <w:tcPr>
            <w:tcW w:w="2988"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J</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s>
              <w:spacing w:before="0" w:after="180"/>
              <w:jc w:val="center"/>
              <w:rPr/>
            </w:pPr>
            <w:r>
              <w:rPr>
                <w:rFonts w:ascii="ArialMT" w:hAnsi="ArialMT"/>
                <w:b w:val="false"/>
                <w:i w:val="false"/>
                <w:color w:val="355BB7"/>
                <w:sz w:val="18"/>
                <w:u w:val="none"/>
              </w:rPr>
              <w:t>NR_FDD_SAB_FR1_J</w:t>
            </w:r>
          </w:p>
        </w:tc>
        <w:tc>
          <w:tcPr>
            <w:tcW w:w="2880" w:type="dxa"/>
            <w:tcBorders>
              <w:top w:val="single" w:sz="8" w:space="0" w:color="000000"/>
              <w:left w:val="single" w:sz="8" w:space="0" w:color="000000"/>
              <w:bottom w:val="single" w:sz="8" w:space="0" w:color="000000"/>
              <w:right w:val="single" w:sz="8" w:space="0" w:color="000000"/>
            </w:tcBorders>
          </w:tcPr>
          <w:p>
            <w:pPr>
              <w:pStyle w:val="Normal"/>
              <w:tabs>
                <w:tab w:val="clear" w:pos="567"/>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before="0" w:after="180"/>
              <w:rPr>
                <w:rFonts w:ascii="Arial-BoldMT" w:hAnsi="Arial-BoldMT"/>
                <w:b/>
                <w:i w:val="false"/>
                <w:i w:val="false"/>
                <w:color w:val="000000"/>
                <w:sz w:val="20"/>
                <w:u w:val="none"/>
              </w:rPr>
            </w:pPr>
            <w:r>
              <w:rPr>
                <w:rFonts w:ascii="Arial-BoldMT" w:hAnsi="Arial-BoldMT"/>
                <w:b/>
                <w:i w:val="false"/>
                <w:color w:val="000000"/>
                <w:sz w:val="20"/>
                <w:u w:val="none"/>
              </w:rPr>
            </w:r>
          </w:p>
        </w:tc>
      </w:tr>
    </w:tbl>
    <w:p>
      <w:pPr>
        <w:pStyle w:val="Normal"/>
        <w:spacing w:before="0" w:after="120"/>
        <w:rPr>
          <w:rFonts w:ascii="TimesNewRomanPSMT" w:hAnsi="TimesNewRomanPSMT"/>
          <w:b w:val="false"/>
          <w:i w:val="false"/>
          <w:i w:val="false"/>
          <w:color w:val="0B5AB2"/>
          <w:sz w:val="20"/>
          <w:u w:val="none"/>
        </w:rPr>
      </w:pPr>
      <w:r>
        <w:rPr>
          <w:rFonts w:ascii="TimesNewRomanPSMT" w:hAnsi="TimesNewRomanPSMT"/>
          <w:b w:val="false"/>
          <w:i w:val="false"/>
          <w:color w:val="0B5AB2"/>
          <w:sz w:val="20"/>
          <w:u w:val="none"/>
        </w:rPr>
      </w:r>
    </w:p>
    <w:p>
      <w:pPr>
        <w:pStyle w:val="Normal"/>
        <w:rPr>
          <w:lang w:eastAsia="ja-JP"/>
        </w:rPr>
      </w:pPr>
      <w:r>
        <w:rPr/>
      </w:r>
    </w:p>
    <w:p>
      <w:pPr>
        <w:pStyle w:val="Normal"/>
        <w:rPr>
          <w:lang w:eastAsia="ja-JP"/>
        </w:rPr>
      </w:pPr>
      <w:r>
        <w:rPr/>
      </w:r>
    </w:p>
    <w:p>
      <w:pPr>
        <w:pStyle w:val="Heading3"/>
        <w:rPr/>
      </w:pPr>
      <w:r>
        <w:rPr/>
        <w:t>2.4.2</w:t>
        <w:tab/>
        <w:t>Agreements after RAN4#113</w:t>
      </w:r>
    </w:p>
    <w:p>
      <w:pPr>
        <w:pStyle w:val="Normal"/>
        <w:rPr>
          <w:lang w:eastAsia="ja-JP"/>
        </w:rPr>
      </w:pPr>
      <w:r>
        <w:rPr/>
        <w:t>The discussion in RAN4#113 has mostly focused on how to capture radiated regulatory requirements, ETSI requirements and on the requirements and mechanisms for protection of Radio Astronomy service.</w:t>
      </w:r>
    </w:p>
    <w:p>
      <w:pPr>
        <w:pStyle w:val="Heading4"/>
        <w:rPr>
          <w:szCs w:val="24"/>
          <w:lang w:eastAsia="zh-CN"/>
        </w:rPr>
      </w:pPr>
      <w:r>
        <w:rPr/>
        <w:t xml:space="preserve">Issue 3-1-1: General Approach for Capturing Additional Regulatory Radiated Emission Requirements (e.g. ITU, ETSI, FCC) </w:t>
      </w:r>
    </w:p>
    <w:p>
      <w:pPr>
        <w:pStyle w:val="ListParagraph"/>
        <w:numPr>
          <w:ilvl w:val="0"/>
          <w:numId w:val="1"/>
        </w:numPr>
        <w:overflowPunct w:val="false"/>
        <w:spacing w:before="0" w:after="120"/>
        <w:ind w:hanging="360" w:left="720"/>
        <w:textAlignment w:val="auto"/>
        <w:rPr>
          <w:rFonts w:eastAsia="SimSun"/>
          <w:b/>
          <w:bCs/>
          <w:color w:val="0070C0"/>
          <w:szCs w:val="24"/>
          <w:lang w:eastAsia="zh-CN"/>
        </w:rPr>
      </w:pPr>
      <w:r>
        <w:rPr>
          <w:rFonts w:eastAsia="SimSun"/>
          <w:b/>
          <w:bCs/>
          <w:color w:val="0070C0"/>
          <w:szCs w:val="24"/>
          <w:lang w:eastAsia="zh-CN"/>
        </w:rPr>
        <w:t>Agreement:</w:t>
      </w:r>
    </w:p>
    <w:p>
      <w:pPr>
        <w:pStyle w:val="ListParagraph"/>
        <w:numPr>
          <w:ilvl w:val="1"/>
          <w:numId w:val="1"/>
        </w:numPr>
        <w:rPr>
          <w:rFonts w:eastAsia="SimSun"/>
          <w:color w:val="0070C0"/>
          <w:szCs w:val="24"/>
          <w:lang w:eastAsia="zh-CN"/>
        </w:rPr>
      </w:pPr>
      <w:r>
        <w:rPr>
          <w:rFonts w:eastAsia="SimSun"/>
          <w:color w:val="0070C0"/>
          <w:szCs w:val="24"/>
          <w:lang w:eastAsia="zh-CN"/>
        </w:rPr>
        <w:t xml:space="preserve">Further study how to capture radiated regulatory requirements in the specification(s), in such a way that ensures compliance to regulations in all operational scenarios, but does not create unnecessary implementation burden. </w:t>
      </w:r>
    </w:p>
    <w:p>
      <w:pPr>
        <w:pStyle w:val="ListParagraph"/>
        <w:numPr>
          <w:ilvl w:val="2"/>
          <w:numId w:val="1"/>
        </w:numPr>
        <w:rPr>
          <w:rFonts w:eastAsia="SimSun"/>
          <w:color w:val="0070C0"/>
          <w:szCs w:val="24"/>
          <w:lang w:eastAsia="zh-CN"/>
        </w:rPr>
      </w:pPr>
      <w:r>
        <w:rPr>
          <w:rFonts w:eastAsia="SimSun"/>
          <w:color w:val="0070C0"/>
          <w:szCs w:val="24"/>
          <w:lang w:eastAsia="zh-CN"/>
        </w:rPr>
        <w:t>(E.g. basic FR1 OTA emission requirements, additional conversion to conducted requirements with reference antenna gain or scaling factor, etc)</w:t>
      </w:r>
    </w:p>
    <w:p>
      <w:pPr>
        <w:pStyle w:val="ListParagraph"/>
        <w:numPr>
          <w:ilvl w:val="0"/>
          <w:numId w:val="0"/>
        </w:numPr>
        <w:overflowPunct w:val="false"/>
        <w:spacing w:before="0" w:after="120"/>
        <w:ind w:hanging="0" w:left="1440"/>
        <w:textAlignment w:val="auto"/>
        <w:rPr>
          <w:rFonts w:eastAsia="SimSun"/>
          <w:b/>
          <w:bCs/>
          <w:color w:val="0070C0"/>
          <w:szCs w:val="24"/>
          <w:lang w:eastAsia="zh-CN"/>
        </w:rPr>
      </w:pPr>
      <w:r>
        <w:rPr>
          <w:rFonts w:eastAsia="DengXian"/>
          <w:color w:val="0070C0"/>
          <w:szCs w:val="24"/>
          <w:lang w:eastAsia="zh-CN"/>
        </w:rPr>
      </w:r>
    </w:p>
    <w:p>
      <w:pPr>
        <w:pStyle w:val="Heading4"/>
        <w:rPr>
          <w:szCs w:val="24"/>
          <w:lang w:eastAsia="zh-CN"/>
        </w:rPr>
      </w:pPr>
      <w:r>
        <w:rPr/>
        <w:t xml:space="preserve">Issue 3-1-3: ETSI additional blocking Requirements </w:t>
      </w:r>
    </w:p>
    <w:p>
      <w:pPr>
        <w:pStyle w:val="ListParagraph"/>
        <w:numPr>
          <w:ilvl w:val="0"/>
          <w:numId w:val="0"/>
        </w:numPr>
        <w:overflowPunct w:val="false"/>
        <w:spacing w:before="0" w:after="120"/>
        <w:ind w:hanging="0" w:left="720"/>
        <w:textAlignment w:val="auto"/>
        <w:rPr>
          <w:rFonts w:eastAsia="SimSun"/>
          <w:color w:val="0070C0"/>
          <w:szCs w:val="24"/>
          <w:lang w:eastAsia="zh-CN"/>
        </w:rPr>
      </w:pPr>
      <w:r>
        <w:rPr>
          <w:rFonts w:eastAsia="DengXian"/>
          <w:color w:val="0070C0"/>
          <w:szCs w:val="24"/>
          <w:lang w:eastAsia="zh-CN"/>
        </w:rPr>
      </w:r>
    </w:p>
    <w:p>
      <w:pPr>
        <w:pStyle w:val="Normal"/>
        <w:spacing w:before="0" w:after="120"/>
        <w:rPr>
          <w:rFonts w:eastAsia="DengXian"/>
          <w:color w:val="0070C0"/>
          <w:szCs w:val="24"/>
          <w:lang w:eastAsia="zh-CN"/>
        </w:rPr>
      </w:pPr>
      <w:r>
        <w:rPr>
          <w:rFonts w:eastAsia="DengXian"/>
          <w:color w:val="0070C0"/>
          <w:szCs w:val="24"/>
          <w:lang w:eastAsia="zh-CN"/>
        </w:rPr>
        <w:t>Agreement:</w:t>
      </w:r>
    </w:p>
    <w:p>
      <w:pPr>
        <w:pStyle w:val="ListParagraph"/>
        <w:numPr>
          <w:ilvl w:val="1"/>
          <w:numId w:val="9"/>
        </w:numPr>
        <w:spacing w:before="0" w:after="120"/>
        <w:rPr>
          <w:rFonts w:eastAsia="DengXian"/>
          <w:color w:val="0070C0"/>
          <w:szCs w:val="24"/>
          <w:lang w:eastAsia="zh-CN"/>
        </w:rPr>
      </w:pPr>
      <w:r>
        <w:rPr>
          <w:rFonts w:eastAsia="SimSun"/>
          <w:color w:val="0070C0"/>
          <w:szCs w:val="24"/>
          <w:lang w:eastAsia="zh-CN"/>
        </w:rPr>
        <w:t>For two new NR NTN L bands, referring to the conclusions in Rel-18 for band 253, do not define the additional in-band / out-of-band blocking requirements in Rel-19 until RAN4 gets clear information from ETSI.</w:t>
      </w:r>
    </w:p>
    <w:p>
      <w:pPr>
        <w:pStyle w:val="Normal"/>
        <w:spacing w:before="0" w:after="120"/>
        <w:rPr>
          <w:rFonts w:eastAsia="DengXian"/>
          <w:color w:val="0070C0"/>
          <w:szCs w:val="24"/>
          <w:lang w:eastAsia="zh-CN"/>
        </w:rPr>
      </w:pPr>
      <w:r>
        <w:rPr>
          <w:rFonts w:eastAsia="DengXian"/>
          <w:color w:val="0070C0"/>
          <w:szCs w:val="24"/>
          <w:lang w:eastAsia="zh-CN"/>
        </w:rPr>
      </w:r>
    </w:p>
    <w:p>
      <w:pPr>
        <w:pStyle w:val="Heading4"/>
        <w:rPr>
          <w:szCs w:val="24"/>
          <w:lang w:eastAsia="zh-CN"/>
        </w:rPr>
      </w:pPr>
      <w:r>
        <w:rPr/>
        <w:t xml:space="preserve"> </w:t>
      </w:r>
      <w:r>
        <w:rPr/>
        <w:t>Issue 3-1-4: Protection of Radio Astronomy stations – Duplexer dependency</w:t>
      </w:r>
    </w:p>
    <w:p>
      <w:pPr>
        <w:pStyle w:val="Normal"/>
        <w:spacing w:before="0" w:after="120"/>
        <w:rPr>
          <w:rFonts w:eastAsia="DengXian"/>
          <w:color w:val="0070C0"/>
          <w:szCs w:val="24"/>
          <w:lang w:eastAsia="zh-CN"/>
        </w:rPr>
      </w:pPr>
      <w:r>
        <w:rPr>
          <w:rFonts w:eastAsia="DengXian"/>
          <w:color w:val="0070C0"/>
          <w:szCs w:val="24"/>
          <w:lang w:eastAsia="zh-CN"/>
        </w:rPr>
        <w:t>Agreement:</w:t>
      </w:r>
    </w:p>
    <w:p>
      <w:pPr>
        <w:pStyle w:val="ListParagraph"/>
        <w:numPr>
          <w:ilvl w:val="1"/>
          <w:numId w:val="9"/>
        </w:numPr>
        <w:spacing w:before="0" w:after="120"/>
        <w:rPr>
          <w:rFonts w:eastAsia="DengXian"/>
          <w:color w:val="0070C0"/>
          <w:szCs w:val="24"/>
          <w:lang w:eastAsia="zh-CN"/>
        </w:rPr>
      </w:pPr>
      <w:r>
        <w:rPr>
          <w:rFonts w:eastAsia="SimSun"/>
          <w:color w:val="0070C0"/>
          <w:szCs w:val="24"/>
          <w:lang w:eastAsia="zh-CN"/>
        </w:rPr>
        <w:t>The requirements to protect Radio Astronomy service operation are independent with the duplexer implementation.</w:t>
      </w:r>
    </w:p>
    <w:p>
      <w:pPr>
        <w:pStyle w:val="Normal"/>
        <w:spacing w:before="0" w:after="120"/>
        <w:rPr>
          <w:rFonts w:eastAsia="DengXian"/>
          <w:color w:val="0070C0"/>
          <w:szCs w:val="24"/>
          <w:lang w:eastAsia="zh-CN"/>
        </w:rPr>
      </w:pPr>
      <w:r>
        <w:rPr>
          <w:rFonts w:eastAsia="DengXian"/>
          <w:color w:val="0070C0"/>
          <w:szCs w:val="24"/>
          <w:lang w:eastAsia="zh-CN"/>
        </w:rPr>
      </w:r>
    </w:p>
    <w:p>
      <w:pPr>
        <w:pStyle w:val="Heading4"/>
        <w:rPr>
          <w:szCs w:val="24"/>
          <w:lang w:eastAsia="zh-CN"/>
        </w:rPr>
      </w:pPr>
      <w:r>
        <w:rPr/>
        <w:t>Issue 3-1-5: Requirements and Mechanisms on Protection of Radio Astronomy stations</w:t>
      </w:r>
    </w:p>
    <w:p>
      <w:pPr>
        <w:pStyle w:val="ListParagraph"/>
        <w:numPr>
          <w:ilvl w:val="0"/>
          <w:numId w:val="1"/>
        </w:numPr>
        <w:overflowPunct w:val="false"/>
        <w:spacing w:before="0" w:after="120"/>
        <w:ind w:hanging="360" w:left="720"/>
        <w:textAlignment w:val="auto"/>
        <w:rPr>
          <w:rFonts w:eastAsia="SimSun"/>
          <w:b/>
          <w:bCs/>
          <w:color w:val="0070C0"/>
          <w:szCs w:val="24"/>
          <w:lang w:eastAsia="zh-CN"/>
        </w:rPr>
      </w:pPr>
      <w:r>
        <w:rPr>
          <w:rFonts w:eastAsia="SimSun"/>
          <w:b/>
          <w:bCs/>
          <w:color w:val="0070C0"/>
          <w:szCs w:val="24"/>
          <w:lang w:eastAsia="zh-CN"/>
        </w:rPr>
        <w:t>Agreement:</w:t>
      </w:r>
    </w:p>
    <w:p>
      <w:pPr>
        <w:pStyle w:val="ListParagraph"/>
        <w:numPr>
          <w:ilvl w:val="1"/>
          <w:numId w:val="1"/>
        </w:numPr>
        <w:spacing w:before="0" w:after="120"/>
        <w:rPr>
          <w:rFonts w:eastAsia="SimSun"/>
          <w:color w:val="0070C0"/>
          <w:szCs w:val="24"/>
          <w:lang w:eastAsia="zh-CN"/>
        </w:rPr>
      </w:pPr>
      <w:r>
        <w:rPr>
          <w:rFonts w:eastAsia="SimSun"/>
          <w:color w:val="0070C0"/>
          <w:szCs w:val="24"/>
          <w:lang w:eastAsia="zh-CN"/>
        </w:rPr>
        <w:t>Further study mechanisms to implement protection of Radio Astronomy stations, at least the following options could be considered:</w:t>
      </w:r>
    </w:p>
    <w:p>
      <w:pPr>
        <w:pStyle w:val="ListParagraph"/>
        <w:numPr>
          <w:ilvl w:val="2"/>
          <w:numId w:val="1"/>
        </w:numPr>
        <w:spacing w:before="0" w:after="120"/>
        <w:rPr>
          <w:rFonts w:eastAsia="SimSun"/>
          <w:color w:val="0070C0"/>
          <w:szCs w:val="24"/>
          <w:lang w:eastAsia="zh-CN"/>
        </w:rPr>
      </w:pPr>
      <w:r>
        <w:rPr>
          <w:rFonts w:eastAsia="SimSun"/>
          <w:color w:val="0070C0"/>
          <w:szCs w:val="24"/>
          <w:lang w:eastAsia="zh-CN"/>
        </w:rPr>
        <w:t>TX Disable, considering possible impact on backwards compatibility</w:t>
      </w:r>
    </w:p>
    <w:p>
      <w:pPr>
        <w:pStyle w:val="ListParagraph"/>
        <w:numPr>
          <w:ilvl w:val="2"/>
          <w:numId w:val="1"/>
        </w:numPr>
        <w:spacing w:before="0" w:after="120"/>
        <w:rPr>
          <w:rFonts w:eastAsia="SimSun"/>
          <w:color w:val="0070C0"/>
          <w:szCs w:val="24"/>
          <w:lang w:eastAsia="zh-CN"/>
        </w:rPr>
      </w:pPr>
      <w:r>
        <w:rPr>
          <w:rFonts w:eastAsia="SimSun"/>
          <w:color w:val="0070C0"/>
          <w:szCs w:val="24"/>
          <w:lang w:eastAsia="zh-CN"/>
        </w:rPr>
        <w:t>RB restrictions</w:t>
      </w:r>
    </w:p>
    <w:p>
      <w:pPr>
        <w:pStyle w:val="ListParagraph"/>
        <w:numPr>
          <w:ilvl w:val="2"/>
          <w:numId w:val="1"/>
        </w:numPr>
        <w:spacing w:before="0" w:after="120"/>
        <w:rPr>
          <w:rFonts w:eastAsia="SimSun"/>
          <w:color w:val="0070C0"/>
          <w:szCs w:val="24"/>
          <w:lang w:eastAsia="zh-CN"/>
        </w:rPr>
      </w:pPr>
      <w:r>
        <w:rPr>
          <w:rFonts w:eastAsia="SimSun"/>
          <w:color w:val="0070C0"/>
          <w:szCs w:val="24"/>
          <w:lang w:eastAsia="zh-CN"/>
        </w:rPr>
        <w:t xml:space="preserve">NS </w:t>
      </w:r>
    </w:p>
    <w:p>
      <w:pPr>
        <w:pStyle w:val="Heading4"/>
        <w:rPr>
          <w:szCs w:val="24"/>
          <w:lang w:eastAsia="zh-CN"/>
        </w:rPr>
      </w:pPr>
      <w:r>
        <w:rPr/>
        <w:t>Issue 3-1-6: Signalling of proximity to Radio Astronomy stations</w:t>
      </w:r>
    </w:p>
    <w:p>
      <w:pPr>
        <w:pStyle w:val="ListParagraph"/>
        <w:numPr>
          <w:ilvl w:val="0"/>
          <w:numId w:val="1"/>
        </w:numPr>
        <w:overflowPunct w:val="false"/>
        <w:spacing w:before="0" w:after="120"/>
        <w:ind w:hanging="360" w:left="720"/>
        <w:textAlignment w:val="auto"/>
        <w:rPr>
          <w:rFonts w:eastAsia="SimSun"/>
          <w:b/>
          <w:bCs/>
          <w:color w:val="0070C0"/>
          <w:szCs w:val="24"/>
          <w:lang w:eastAsia="zh-CN"/>
        </w:rPr>
      </w:pPr>
      <w:r>
        <w:rPr>
          <w:rFonts w:eastAsia="SimSun"/>
          <w:b/>
          <w:bCs/>
          <w:color w:val="0070C0"/>
          <w:szCs w:val="24"/>
          <w:lang w:eastAsia="zh-CN"/>
        </w:rPr>
        <w:t>Agreement:</w:t>
      </w:r>
    </w:p>
    <w:p>
      <w:pPr>
        <w:pStyle w:val="ListParagraph"/>
        <w:numPr>
          <w:ilvl w:val="1"/>
          <w:numId w:val="1"/>
        </w:numPr>
        <w:overflowPunct w:val="false"/>
        <w:spacing w:before="0" w:after="120"/>
        <w:textAlignment w:val="auto"/>
        <w:rPr>
          <w:rFonts w:eastAsia="SimSun"/>
          <w:b/>
          <w:bCs/>
          <w:color w:val="0070C0"/>
          <w:szCs w:val="24"/>
          <w:lang w:eastAsia="zh-CN"/>
        </w:rPr>
      </w:pPr>
      <w:r>
        <w:rPr>
          <w:rFonts w:eastAsia="SimSun"/>
          <w:color w:val="0070C0"/>
          <w:szCs w:val="24"/>
          <w:lang w:eastAsia="zh-CN"/>
        </w:rPr>
        <w:t>Further study how to determine proximity of NTN UE to Radio Astronomy stations</w:t>
      </w:r>
    </w:p>
    <w:p>
      <w:pPr>
        <w:pStyle w:val="Normal"/>
        <w:rPr>
          <w:lang w:eastAsia="ja-JP"/>
        </w:rPr>
      </w:pPr>
      <w:r>
        <w:rPr>
          <w:lang w:eastAsia="ja-JP"/>
        </w:rPr>
      </w:r>
    </w:p>
    <w:p>
      <w:pPr>
        <w:pStyle w:val="Normal"/>
        <w:rPr>
          <w:lang w:eastAsia="ja-JP"/>
        </w:rPr>
      </w:pPr>
      <w:r>
        <w:rPr>
          <w:lang w:eastAsia="ja-JP"/>
        </w:rPr>
      </w:r>
    </w:p>
    <w:p>
      <w:pPr>
        <w:pStyle w:val="Heading3"/>
        <w:rPr/>
      </w:pPr>
      <w:r>
        <w:rPr>
          <w:lang w:eastAsia="ja-JP"/>
        </w:rPr>
        <w:t>2.4.</w:t>
      </w:r>
      <w:r>
        <w:rPr>
          <w:lang w:eastAsia="ja-JP"/>
        </w:rPr>
        <w:t>3</w:t>
      </w:r>
      <w:r>
        <w:rPr>
          <w:lang w:eastAsia="ja-JP"/>
        </w:rPr>
        <w:tab/>
        <w:t>Remaining Open issues after RAN4#11</w:t>
      </w:r>
      <w:r>
        <w:rPr>
          <w:lang w:eastAsia="ja-JP"/>
        </w:rPr>
        <w:t>3</w:t>
      </w:r>
    </w:p>
    <w:p>
      <w:pPr>
        <w:pStyle w:val="Normal"/>
        <w:rPr>
          <w:lang w:eastAsia="ja-JP"/>
        </w:rPr>
      </w:pPr>
      <w:r>
        <w:rPr>
          <w:lang w:eastAsia="ja-JP"/>
        </w:rPr>
        <w:t xml:space="preserve">UL Channel Bandwidths and final channel bandwidth table are still missing, alongside a number of other details on system parameters </w:t>
      </w:r>
      <w:r>
        <w:rPr>
          <w:lang w:eastAsia="ja-JP"/>
        </w:rPr>
        <w:t>(e.g. actual TX-RX frequency separation range, SS Raster)</w:t>
      </w:r>
    </w:p>
    <w:p>
      <w:pPr>
        <w:pStyle w:val="Normal"/>
        <w:rPr>
          <w:lang w:eastAsia="ja-JP"/>
        </w:rPr>
      </w:pPr>
      <w:r>
        <w:rPr>
          <w:lang w:eastAsia="ja-JP"/>
        </w:rPr>
        <w:t xml:space="preserve">Companies are expected to further study how to capture radiated regulatory requirements </w:t>
      </w:r>
      <w:r>
        <w:rPr>
          <w:lang w:eastAsia="ja-JP"/>
        </w:rPr>
        <w:t>and further consider how to implement requirements for protection of Radio Astronomy services.</w:t>
      </w:r>
    </w:p>
    <w:p>
      <w:pPr>
        <w:pStyle w:val="Normal"/>
        <w:rPr>
          <w:lang w:eastAsia="ja-JP"/>
        </w:rPr>
      </w:pPr>
      <w:r>
        <w:rPr>
          <w:lang w:eastAsia="ja-JP"/>
        </w:rPr>
        <w:t xml:space="preserve">The majority of </w:t>
      </w:r>
      <w:r>
        <w:rPr>
          <w:lang w:eastAsia="ja-JP"/>
        </w:rPr>
        <w:t>UE RF requirements and SAN RF requirements are still pending</w:t>
      </w:r>
    </w:p>
    <w:p>
      <w:pPr>
        <w:pStyle w:val="Normal"/>
        <w:rPr>
          <w:lang w:eastAsia="ja-JP"/>
        </w:rPr>
      </w:pPr>
      <w:r>
        <w:rPr>
          <w:lang w:eastAsia="ja-JP"/>
        </w:rPr>
        <w:t>CR work split agreement amongst companies for the Core part should be targeted for the next meeting.</w:t>
      </w:r>
    </w:p>
    <w:p>
      <w:pPr>
        <w:pStyle w:val="Normal"/>
        <w:rPr>
          <w:lang w:eastAsia="ja-JP"/>
        </w:rPr>
      </w:pPr>
      <w:r>
        <w:rPr>
          <w:lang w:eastAsia="ja-JP"/>
        </w:rPr>
        <w:t>Performance has not started yet.</w:t>
      </w:r>
    </w:p>
    <w:p>
      <w:pPr>
        <w:pStyle w:val="Normal"/>
        <w:rPr>
          <w:lang w:eastAsia="ja-JP"/>
        </w:rPr>
      </w:pPr>
      <w:r>
        <w:rPr/>
      </w:r>
    </w:p>
    <w:p>
      <w:pPr>
        <w:pStyle w:val="Normal"/>
        <w:rPr>
          <w:lang w:eastAsia="ja-JP"/>
        </w:rPr>
      </w:pPr>
      <w:r>
        <w:rPr>
          <w:lang w:eastAsia="ja-JP"/>
        </w:rPr>
      </w:r>
    </w:p>
    <w:p>
      <w:pPr>
        <w:pStyle w:val="Heading2"/>
        <w:rPr/>
      </w:pPr>
      <w:r>
        <w:rPr/>
        <w:t>4.</w:t>
        <w:tab/>
        <w:t>References</w:t>
      </w:r>
    </w:p>
    <w:p>
      <w:pPr>
        <w:pStyle w:val="NO"/>
        <w:rPr>
          <w:rFonts w:ascii="Arial" w:hAnsi="Arial" w:cs="Arial"/>
          <w:iCs/>
          <w:color w:val="FF0000"/>
        </w:rPr>
      </w:pPr>
      <w:r>
        <w:rPr>
          <w:rFonts w:cs="Arial" w:ascii="Arial" w:hAnsi="Arial"/>
          <w:iCs/>
          <w:color w:val="FF0000"/>
        </w:rPr>
        <w:t>NOTE:</w:t>
        <w:tab/>
        <w:t>This can be e.g. a list of all related Tdocs in the affected WGs since last TSG, references to LSs, produced TRs/TSs, the work/study item description or status reports of previous TSGs.</w:t>
      </w:r>
    </w:p>
    <w:p>
      <w:pPr>
        <w:pStyle w:val="FP"/>
        <w:numPr>
          <w:ilvl w:val="0"/>
          <w:numId w:val="11"/>
        </w:numPr>
        <w:rPr>
          <w:sz w:val="12"/>
          <w:szCs w:val="12"/>
        </w:rPr>
      </w:pPr>
      <w:r>
        <w:rPr>
          <w:sz w:val="12"/>
          <w:szCs w:val="12"/>
        </w:rPr>
        <w:t>RP-241856 - Revised WID on New NR NTN bands to support Extended L-band and combined MSS L-band and Extended L-band ranges – Inmarsat, Viasat</w:t>
      </w:r>
    </w:p>
    <w:p>
      <w:pPr>
        <w:pStyle w:val="FP"/>
        <w:numPr>
          <w:ilvl w:val="0"/>
          <w:numId w:val="11"/>
        </w:numPr>
        <w:rPr>
          <w:sz w:val="12"/>
          <w:szCs w:val="12"/>
        </w:rPr>
      </w:pPr>
      <w:r>
        <w:rPr>
          <w:sz w:val="12"/>
          <w:szCs w:val="12"/>
        </w:rPr>
        <w:t>R4-2415215</w:t>
        <w:tab/>
        <w:t>Topic summary for [112bis][111] NR_IoT_NTN_Bands</w:t>
        <w:tab/>
        <w:t>Moderator(Inmarsat)</w:t>
      </w:r>
    </w:p>
    <w:p>
      <w:pPr>
        <w:pStyle w:val="FP"/>
        <w:numPr>
          <w:ilvl w:val="0"/>
          <w:numId w:val="11"/>
        </w:numPr>
        <w:rPr>
          <w:sz w:val="12"/>
          <w:szCs w:val="12"/>
        </w:rPr>
      </w:pPr>
      <w:r>
        <w:rPr>
          <w:sz w:val="12"/>
          <w:szCs w:val="12"/>
        </w:rPr>
        <w:t>R4-2415814</w:t>
        <w:tab/>
        <w:t>draftCR to TS38.108 Introduction of NR-NTN combined L-band</w:t>
        <w:tab/>
        <w:t>ZTE Corporation, Sanechips</w:t>
      </w:r>
    </w:p>
    <w:p>
      <w:pPr>
        <w:pStyle w:val="FP"/>
        <w:numPr>
          <w:ilvl w:val="0"/>
          <w:numId w:val="11"/>
        </w:numPr>
        <w:rPr>
          <w:sz w:val="12"/>
          <w:szCs w:val="12"/>
        </w:rPr>
      </w:pPr>
      <w:r>
        <w:rPr>
          <w:sz w:val="12"/>
          <w:szCs w:val="12"/>
        </w:rPr>
        <w:t>R4-2416050</w:t>
        <w:tab/>
        <w:t>Discussion on the full NTN L band definition</w:t>
        <w:tab/>
        <w:t>Huawei, HiSilicon</w:t>
      </w:r>
    </w:p>
    <w:p>
      <w:pPr>
        <w:pStyle w:val="FP"/>
        <w:numPr>
          <w:ilvl w:val="0"/>
          <w:numId w:val="11"/>
        </w:numPr>
        <w:rPr>
          <w:sz w:val="12"/>
          <w:szCs w:val="12"/>
        </w:rPr>
      </w:pPr>
      <w:r>
        <w:rPr>
          <w:sz w:val="12"/>
          <w:szCs w:val="12"/>
        </w:rPr>
        <w:t>R4-2416374</w:t>
        <w:tab/>
        <w:t>Introduction of NR-NTN L-band</w:t>
        <w:tab/>
        <w:t>ZTECorporation,Sanechips</w:t>
      </w:r>
    </w:p>
    <w:p>
      <w:pPr>
        <w:pStyle w:val="FP"/>
        <w:numPr>
          <w:ilvl w:val="0"/>
          <w:numId w:val="11"/>
        </w:numPr>
        <w:rPr>
          <w:sz w:val="12"/>
          <w:szCs w:val="12"/>
        </w:rPr>
      </w:pPr>
      <w:r>
        <w:rPr>
          <w:sz w:val="12"/>
          <w:szCs w:val="12"/>
        </w:rPr>
        <w:t>R4-2416473</w:t>
        <w:tab/>
        <w:t>Input to UE RF requirements for NTN L-bands n253, n521, n250</w:t>
        <w:tab/>
        <w:t>Inmarsat, Viasat</w:t>
      </w:r>
    </w:p>
    <w:p>
      <w:pPr>
        <w:pStyle w:val="FP"/>
        <w:numPr>
          <w:ilvl w:val="0"/>
          <w:numId w:val="11"/>
        </w:numPr>
        <w:rPr>
          <w:sz w:val="12"/>
          <w:szCs w:val="12"/>
        </w:rPr>
      </w:pPr>
      <w:r>
        <w:rPr>
          <w:sz w:val="12"/>
          <w:szCs w:val="12"/>
        </w:rPr>
        <w:t>R4-2417206</w:t>
        <w:tab/>
        <w:t>WF on NTN and IoT-NTN bands</w:t>
        <w:tab/>
        <w:t>Inmarsat</w:t>
      </w:r>
    </w:p>
    <w:p>
      <w:pPr>
        <w:pStyle w:val="FP"/>
        <w:numPr>
          <w:ilvl w:val="0"/>
          <w:numId w:val="11"/>
        </w:numPr>
        <w:rPr>
          <w:sz w:val="12"/>
          <w:szCs w:val="12"/>
        </w:rPr>
      </w:pPr>
      <w:r>
        <w:rPr>
          <w:sz w:val="12"/>
          <w:szCs w:val="12"/>
        </w:rPr>
        <w:t>R4-2418135</w:t>
        <w:tab/>
        <w:t>Topic summary for [113][113] NR_IoT_NTN_Bands</w:t>
        <w:tab/>
        <w:t>Moderator (Inmarsat)</w:t>
      </w:r>
    </w:p>
    <w:p>
      <w:pPr>
        <w:pStyle w:val="FP"/>
        <w:numPr>
          <w:ilvl w:val="0"/>
          <w:numId w:val="11"/>
        </w:numPr>
        <w:rPr>
          <w:sz w:val="12"/>
          <w:szCs w:val="12"/>
        </w:rPr>
      </w:pPr>
      <w:r>
        <w:rPr>
          <w:sz w:val="12"/>
          <w:szCs w:val="12"/>
        </w:rPr>
        <w:t>R4-2420465</w:t>
        <w:tab/>
        <w:t>WF on requirements for NR IoT NTN bands</w:t>
        <w:tab/>
        <w:t>Inmarsat</w:t>
      </w:r>
    </w:p>
    <w:p>
      <w:pPr>
        <w:pStyle w:val="FP"/>
        <w:numPr>
          <w:ilvl w:val="0"/>
          <w:numId w:val="11"/>
        </w:numPr>
        <w:rPr>
          <w:sz w:val="12"/>
          <w:szCs w:val="12"/>
        </w:rPr>
      </w:pPr>
      <w:r>
        <w:rPr>
          <w:sz w:val="12"/>
          <w:szCs w:val="12"/>
        </w:rPr>
        <w:t>R4-2418357</w:t>
        <w:tab/>
        <w:t>draftCR to TS38.108 Introduction of NR-NTN combined L-band</w:t>
        <w:tab/>
        <w:t>ZTE Corporation, Sanechips</w:t>
      </w:r>
    </w:p>
    <w:p>
      <w:pPr>
        <w:pStyle w:val="FP"/>
        <w:numPr>
          <w:ilvl w:val="0"/>
          <w:numId w:val="11"/>
        </w:numPr>
        <w:rPr>
          <w:sz w:val="12"/>
          <w:szCs w:val="12"/>
        </w:rPr>
      </w:pPr>
      <w:r>
        <w:rPr>
          <w:sz w:val="12"/>
          <w:szCs w:val="12"/>
        </w:rPr>
        <w:t>R4-2418486</w:t>
        <w:tab/>
        <w:t>Introduction of NR-NTN L-band</w:t>
        <w:tab/>
        <w:t>ZTECorporation,Sanechips</w:t>
      </w:r>
    </w:p>
    <w:p>
      <w:pPr>
        <w:pStyle w:val="FP"/>
        <w:numPr>
          <w:ilvl w:val="0"/>
          <w:numId w:val="11"/>
        </w:numPr>
        <w:rPr>
          <w:sz w:val="12"/>
          <w:szCs w:val="12"/>
        </w:rPr>
      </w:pPr>
      <w:r>
        <w:rPr>
          <w:sz w:val="12"/>
          <w:szCs w:val="12"/>
        </w:rPr>
        <w:t>R4-2419067</w:t>
        <w:tab/>
        <w:t>Discussion on the full NTN L band definition</w:t>
        <w:tab/>
        <w:t>Huawei, HiSilicon</w:t>
      </w:r>
    </w:p>
    <w:p>
      <w:pPr>
        <w:pStyle w:val="FP"/>
        <w:numPr>
          <w:ilvl w:val="0"/>
          <w:numId w:val="11"/>
        </w:numPr>
        <w:rPr>
          <w:sz w:val="12"/>
          <w:szCs w:val="12"/>
        </w:rPr>
      </w:pPr>
      <w:r>
        <w:rPr>
          <w:sz w:val="12"/>
          <w:szCs w:val="12"/>
        </w:rPr>
        <w:t>R4-2419523</w:t>
        <w:tab/>
        <w:t>Discussion on UE RF requirements for NR-NTN bands to support the Extended L-band and the combined MSS L-band and Extended L-band ranges</w:t>
        <w:tab/>
        <w:t>Mediatek India Technology Pvt.</w:t>
      </w:r>
    </w:p>
    <w:p>
      <w:pPr>
        <w:pStyle w:val="FP"/>
        <w:numPr>
          <w:ilvl w:val="0"/>
          <w:numId w:val="11"/>
        </w:numPr>
        <w:rPr>
          <w:sz w:val="12"/>
          <w:szCs w:val="12"/>
        </w:rPr>
      </w:pPr>
      <w:r>
        <w:rPr>
          <w:sz w:val="12"/>
          <w:szCs w:val="12"/>
        </w:rPr>
        <w:t>R4-2419555</w:t>
        <w:tab/>
        <w:t>Input to UE RF requirements for NTN L-bands n253, n521, n250</w:t>
        <w:tab/>
        <w:t>Inmarsat, Viasat</w:t>
      </w:r>
    </w:p>
    <w:sectPr>
      <w:footerReference w:type="even" r:id="rId2"/>
      <w:footerReference w:type="default" r:id="rId3"/>
      <w:footerReference w:type="first" r:id="rId4"/>
      <w:type w:val="nextPage"/>
      <w:pgSz w:w="11906" w:h="16838"/>
      <w:pgMar w:left="851" w:right="851" w:gutter="0" w:header="0" w:top="851" w:footer="720" w:bottom="851"/>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swiss"/>
    <w:pitch w:val="variable"/>
  </w:font>
  <w:font w:name="Tahoma">
    <w:charset w:val="01"/>
    <w:family w:val="swiss"/>
    <w:pitch w:val="variable"/>
  </w:font>
  <w:font w:name="Courier New">
    <w:charset w:val="01"/>
    <w:family w:val="auto"/>
    <w:pitch w:val="variable"/>
  </w:font>
  <w:font w:name="Century">
    <w:charset w:val="01"/>
    <w:family w:val="roman"/>
    <w:pitch w:val="variable"/>
  </w:font>
  <w:font w:name="Calibri">
    <w:charset w:val="01"/>
    <w:family w:val="swiss"/>
    <w:pitch w:val="variable"/>
  </w:font>
  <w:font w:name="OpenSymbol">
    <w:altName w:val="Arial Unicode MS"/>
    <w:charset w:val="02"/>
    <w:family w:val="auto"/>
    <w:pitch w:val="default"/>
  </w:font>
  <w:font w:name="Liberation Sans">
    <w:altName w:val="Arial"/>
    <w:charset w:val="01"/>
    <w:family w:val="swiss"/>
    <w:pitch w:val="variable"/>
  </w:font>
  <w:font w:name="Times">
    <w:altName w:val="Times New Roman"/>
    <w:charset w:val="01"/>
    <w:family w:val="roman"/>
    <w:pitch w:val="variable"/>
  </w:font>
  <w:font w:name="MS PGothic">
    <w:charset w:val="01"/>
    <w:family w:val="swiss"/>
    <w:pitch w:val="variable"/>
  </w:font>
  <w:font w:name="TimesNewRomanPS-ItalicMT">
    <w:charset w:val="01"/>
    <w:family w:val="auto"/>
    <w:pitch w:val="variable"/>
  </w:font>
  <w:font w:name="ArialMT">
    <w:charset w:val="01"/>
    <w:family w:val="auto"/>
    <w:pitch w:val="variable"/>
  </w:font>
  <w:font w:name="TimesNewRomanPS-BoldMT">
    <w:charset w:val="01"/>
    <w:family w:val="auto"/>
    <w:pitch w:val="variable"/>
  </w:font>
  <w:font w:name="TimesNewRomanPSMT">
    <w:charset w:val="01"/>
    <w:family w:val="auto"/>
    <w:pitch w:val="variable"/>
  </w:font>
  <w:font w:name="Arial-BoldMT">
    <w:charset w:val="01"/>
    <w:family w:val="auto"/>
    <w:pitch w:val="variable"/>
  </w:font>
  <w:font w:name="Arial-BoldItalicMT">
    <w:charset w:val="01"/>
    <w:family w:val="auto"/>
    <w:pitch w:val="variable"/>
  </w:font>
  <w:font w:name="Helvetica">
    <w:altName w:val="Arial"/>
    <w:charset w:val="01"/>
    <w:family w:val="auto"/>
    <w:pitch w:val="variable"/>
  </w:font>
  <w:font w:name="Symbol">
    <w:charset w:val="01"/>
    <w:family w:val="auto"/>
    <w:pitch w:val="variable"/>
  </w:font>
  <w:font w:name="Courier New">
    <w:charset w:val="01"/>
    <w:family w:val="modern"/>
    <w:pitch w:val="fixed"/>
  </w:font>
  <w:font w:name="Wingdings">
    <w:charset w:val="01"/>
    <w:family w:val="auto"/>
    <w:pitch w:val="variable"/>
  </w:font>
  <w:font w:name="Symbol">
    <w:charset w:val="02"/>
    <w:family w:val="auto"/>
    <w:pitch w:val="default"/>
  </w:font>
  <w:font w:name="ZapfDingbats">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jc w:val="center"/>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jc w:val="center"/>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lvl w:ilvl="0">
      <w:start w:val="1"/>
      <w:numFmt w:val="decimal"/>
      <w:lvlText w:val="[R1-%1]"/>
      <w:lvlJc w:val="left"/>
      <w:pPr>
        <w:tabs>
          <w:tab w:val="num" w:pos="0"/>
        </w:tabs>
        <w:ind w:left="420" w:hanging="420"/>
      </w:pPr>
      <w:rPr/>
    </w:lvl>
    <w:lvl w:ilvl="1">
      <w:start w:val="1"/>
      <w:numFmt w:val="aiueoFullWidth"/>
      <w:lvlText w:val="(%2)"/>
      <w:lvlJc w:val="left"/>
      <w:pPr>
        <w:tabs>
          <w:tab w:val="num" w:pos="0"/>
        </w:tabs>
        <w:ind w:left="840" w:hanging="420"/>
      </w:pPr>
      <w:rPr/>
    </w:lvl>
    <w:lvl w:ilvl="2">
      <w:start w:val="1"/>
      <w:numFmt w:val="decimalEnclosedCircle"/>
      <w:lvlText w:val="%3"/>
      <w:lvlJc w:val="left"/>
      <w:pPr>
        <w:tabs>
          <w:tab w:val="num" w:pos="0"/>
        </w:tabs>
        <w:ind w:left="1260" w:hanging="420"/>
      </w:pPr>
      <w:rPr/>
    </w:lvl>
    <w:lvl w:ilvl="3">
      <w:start w:val="1"/>
      <w:numFmt w:val="decimal"/>
      <w:lvlText w:val="%4."/>
      <w:lvlJc w:val="left"/>
      <w:pPr>
        <w:tabs>
          <w:tab w:val="num" w:pos="0"/>
        </w:tabs>
        <w:ind w:left="1680" w:hanging="420"/>
      </w:pPr>
      <w:rPr/>
    </w:lvl>
    <w:lvl w:ilvl="4">
      <w:start w:val="1"/>
      <w:numFmt w:val="aiueoFullWidth"/>
      <w:lvlText w:val="(%5)"/>
      <w:lvlJc w:val="left"/>
      <w:pPr>
        <w:tabs>
          <w:tab w:val="num" w:pos="0"/>
        </w:tabs>
        <w:ind w:left="2100" w:hanging="420"/>
      </w:pPr>
      <w:rPr/>
    </w:lvl>
    <w:lvl w:ilvl="5">
      <w:start w:val="1"/>
      <w:numFmt w:val="decimalEnclosedCircle"/>
      <w:lvlText w:val="%6"/>
      <w:lvlJc w:val="left"/>
      <w:pPr>
        <w:tabs>
          <w:tab w:val="num" w:pos="0"/>
        </w:tabs>
        <w:ind w:left="2520" w:hanging="420"/>
      </w:pPr>
      <w:rPr/>
    </w:lvl>
    <w:lvl w:ilvl="6">
      <w:start w:val="1"/>
      <w:numFmt w:val="decimal"/>
      <w:lvlText w:val="%7."/>
      <w:lvlJc w:val="left"/>
      <w:pPr>
        <w:tabs>
          <w:tab w:val="num" w:pos="0"/>
        </w:tabs>
        <w:ind w:left="2940" w:hanging="420"/>
      </w:pPr>
      <w:rPr/>
    </w:lvl>
    <w:lvl w:ilvl="7">
      <w:start w:val="1"/>
      <w:numFmt w:val="aiueoFullWidth"/>
      <w:lvlText w:val="(%8)"/>
      <w:lvlJc w:val="left"/>
      <w:pPr>
        <w:tabs>
          <w:tab w:val="num" w:pos="0"/>
        </w:tabs>
        <w:ind w:left="3360" w:hanging="420"/>
      </w:pPr>
      <w:rPr/>
    </w:lvl>
    <w:lvl w:ilvl="8">
      <w:start w:val="1"/>
      <w:numFmt w:val="decimalEnclosedCircle"/>
      <w:lvlText w:val="%9"/>
      <w:lvlJc w:val="left"/>
      <w:pPr>
        <w:tabs>
          <w:tab w:val="num" w:pos="0"/>
        </w:tabs>
        <w:ind w:left="3780" w:hanging="420"/>
      </w:pPr>
      <w:rPr/>
    </w:lvl>
  </w:abstractNum>
  <w:abstractNum w:abstractNumId="4">
    <w:lvl w:ilvl="0">
      <w:start w:val="1"/>
      <w:numFmt w:val="bullet"/>
      <w:lvlText w:val=""/>
      <w:lvlJc w:val="left"/>
      <w:pPr>
        <w:tabs>
          <w:tab w:val="num" w:pos="992"/>
        </w:tabs>
        <w:ind w:left="992" w:hanging="425"/>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tabs>
          <w:tab w:val="num" w:pos="360"/>
        </w:tabs>
        <w:ind w:left="340" w:hanging="340"/>
      </w:pPr>
      <w:rPr>
        <w:rFonts w:ascii="Symbol" w:hAnsi="Symbol" w:cs="Symbol" w:hint="default"/>
        <w:color w:val="auto"/>
      </w:rPr>
    </w:lvl>
    <w:lvl w:ilvl="1">
      <w:start w:val="1"/>
      <w:numFmt w:val="bullet"/>
      <w:lvlText w:val=""/>
      <w:lvlJc w:val="left"/>
      <w:pPr>
        <w:tabs>
          <w:tab w:val="num" w:pos="1080"/>
        </w:tabs>
        <w:ind w:left="1080" w:hanging="360"/>
      </w:pPr>
      <w:rPr>
        <w:rFonts w:ascii="Symbol" w:hAnsi="Symbol" w:cs="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851"/>
        </w:tabs>
        <w:ind w:left="851" w:hanging="851"/>
      </w:pPr>
      <w:rPr>
        <w:rFonts w:ascii="ZapfDingbats" w:hAnsi="ZapfDingbats" w:cs="ZapfDingbats" w:hint="default"/>
        <w:sz w:val="20"/>
        <w:i w:val="false"/>
        <w:b/>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lvl w:ilvl="0">
      <w:numFmt w:val="bullet"/>
      <w:lvlText w:val="-"/>
      <w:lvlJc w:val="left"/>
      <w:pPr>
        <w:tabs>
          <w:tab w:val="num" w:pos="0"/>
        </w:tabs>
        <w:ind w:left="924" w:hanging="360"/>
      </w:pPr>
      <w:rPr>
        <w:rFonts w:ascii="Arial" w:hAnsi="Arial" w:cs="Arial" w:hint="default"/>
      </w:rPr>
    </w:lvl>
    <w:lvl w:ilvl="1">
      <w:start w:val="1"/>
      <w:numFmt w:val="bullet"/>
      <w:lvlText w:val="o"/>
      <w:lvlJc w:val="left"/>
      <w:pPr>
        <w:tabs>
          <w:tab w:val="num" w:pos="0"/>
        </w:tabs>
        <w:ind w:left="1644" w:hanging="360"/>
      </w:pPr>
      <w:rPr>
        <w:rFonts w:ascii="Courier New" w:hAnsi="Courier New" w:cs="Courier New" w:hint="default"/>
      </w:rPr>
    </w:lvl>
    <w:lvl w:ilvl="2">
      <w:start w:val="1"/>
      <w:numFmt w:val="bullet"/>
      <w:lvlText w:val=""/>
      <w:lvlJc w:val="left"/>
      <w:pPr>
        <w:tabs>
          <w:tab w:val="num" w:pos="0"/>
        </w:tabs>
        <w:ind w:left="2364" w:hanging="360"/>
      </w:pPr>
      <w:rPr>
        <w:rFonts w:ascii="Wingdings" w:hAnsi="Wingdings" w:cs="Wingdings" w:hint="default"/>
      </w:rPr>
    </w:lvl>
    <w:lvl w:ilvl="3">
      <w:start w:val="1"/>
      <w:numFmt w:val="bullet"/>
      <w:lvlText w:val=""/>
      <w:lvlJc w:val="left"/>
      <w:pPr>
        <w:tabs>
          <w:tab w:val="num" w:pos="0"/>
        </w:tabs>
        <w:ind w:left="3084" w:hanging="360"/>
      </w:pPr>
      <w:rPr>
        <w:rFonts w:ascii="Symbol" w:hAnsi="Symbol" w:cs="Symbol" w:hint="default"/>
      </w:rPr>
    </w:lvl>
    <w:lvl w:ilvl="4">
      <w:start w:val="1"/>
      <w:numFmt w:val="bullet"/>
      <w:lvlText w:val="o"/>
      <w:lvlJc w:val="left"/>
      <w:pPr>
        <w:tabs>
          <w:tab w:val="num" w:pos="0"/>
        </w:tabs>
        <w:ind w:left="3804" w:hanging="360"/>
      </w:pPr>
      <w:rPr>
        <w:rFonts w:ascii="Courier New" w:hAnsi="Courier New" w:cs="Courier New" w:hint="default"/>
      </w:rPr>
    </w:lvl>
    <w:lvl w:ilvl="5">
      <w:start w:val="1"/>
      <w:numFmt w:val="bullet"/>
      <w:lvlText w:val=""/>
      <w:lvlJc w:val="left"/>
      <w:pPr>
        <w:tabs>
          <w:tab w:val="num" w:pos="0"/>
        </w:tabs>
        <w:ind w:left="4524" w:hanging="360"/>
      </w:pPr>
      <w:rPr>
        <w:rFonts w:ascii="Wingdings" w:hAnsi="Wingdings" w:cs="Wingdings" w:hint="default"/>
      </w:rPr>
    </w:lvl>
    <w:lvl w:ilvl="6">
      <w:start w:val="1"/>
      <w:numFmt w:val="bullet"/>
      <w:lvlText w:val=""/>
      <w:lvlJc w:val="left"/>
      <w:pPr>
        <w:tabs>
          <w:tab w:val="num" w:pos="0"/>
        </w:tabs>
        <w:ind w:left="5244" w:hanging="360"/>
      </w:pPr>
      <w:rPr>
        <w:rFonts w:ascii="Symbol" w:hAnsi="Symbol" w:cs="Symbol" w:hint="default"/>
      </w:rPr>
    </w:lvl>
    <w:lvl w:ilvl="7">
      <w:start w:val="1"/>
      <w:numFmt w:val="bullet"/>
      <w:lvlText w:val="o"/>
      <w:lvlJc w:val="left"/>
      <w:pPr>
        <w:tabs>
          <w:tab w:val="num" w:pos="0"/>
        </w:tabs>
        <w:ind w:left="5964" w:hanging="360"/>
      </w:pPr>
      <w:rPr>
        <w:rFonts w:ascii="Courier New" w:hAnsi="Courier New" w:cs="Courier New" w:hint="default"/>
      </w:rPr>
    </w:lvl>
    <w:lvl w:ilvl="8">
      <w:start w:val="1"/>
      <w:numFmt w:val="bullet"/>
      <w:lvlText w:val=""/>
      <w:lvlJc w:val="left"/>
      <w:pPr>
        <w:tabs>
          <w:tab w:val="num" w:pos="0"/>
        </w:tabs>
        <w:ind w:left="6684" w:hanging="360"/>
      </w:pPr>
      <w:rPr>
        <w:rFonts w:ascii="Wingdings" w:hAnsi="Wingdings" w:cs="Wingdings" w:hint="default"/>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20"/>
  <w:defaultTabStop w:val="567"/>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MS Mincho" w:cs="Times New Roman"/>
        <w:lang w:val="en-US" w:eastAsia="ja-JP" w:bidi="ar-SA"/>
      </w:rPr>
    </w:rPrDefault>
    <w:pPrDefault>
      <w:pPr>
        <w:suppressAutoHyphens w:val="true"/>
        <w:spacing w:lineRule="auto" w:line="276"/>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31ed4"/>
    <w:pPr>
      <w:widowControl/>
      <w:overflowPunct w:val="true"/>
      <w:bidi w:val="0"/>
      <w:spacing w:before="0" w:after="180" w:lineRule="auto" w:line="276"/>
      <w:jc w:val="left"/>
      <w:textAlignment w:val="baseline"/>
    </w:pPr>
    <w:rPr>
      <w:rFonts w:eastAsia="Times New Roman" w:ascii="Times New Roman" w:hAnsi="Times New Roman" w:cs="Times New Roman"/>
      <w:color w:val="auto"/>
      <w:kern w:val="0"/>
      <w:sz w:val="20"/>
      <w:szCs w:val="20"/>
      <w:lang w:val="en-GB" w:eastAsia="en-GB" w:bidi="ar-SA"/>
    </w:rPr>
  </w:style>
  <w:style w:type="paragraph" w:styleId="Heading1">
    <w:name w:val="heading 1"/>
    <w:next w:val="Normal"/>
    <w:qFormat/>
    <w:rsid w:val="00231ed4"/>
    <w:pPr>
      <w:keepNext w:val="true"/>
      <w:keepLines/>
      <w:widowControl/>
      <w:pBdr>
        <w:top w:val="single" w:sz="12" w:space="3" w:color="000000"/>
      </w:pBdr>
      <w:overflowPunct w:val="true"/>
      <w:bidi w:val="0"/>
      <w:spacing w:before="240" w:after="180" w:lineRule="auto" w:line="276"/>
      <w:ind w:hanging="1134" w:left="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Heading2">
    <w:name w:val="heading 2"/>
    <w:basedOn w:val="Heading1"/>
    <w:next w:val="Normal"/>
    <w:link w:val="Heading2Char"/>
    <w:qFormat/>
    <w:rsid w:val="00231ed4"/>
    <w:pPr>
      <w:pBdr>
        <w:top w:val="nil"/>
      </w:pBdr>
      <w:spacing w:before="180" w:after="180"/>
      <w:outlineLvl w:val="1"/>
    </w:pPr>
    <w:rPr>
      <w:sz w:val="32"/>
    </w:rPr>
  </w:style>
  <w:style w:type="paragraph" w:styleId="Heading3">
    <w:name w:val="heading 3"/>
    <w:basedOn w:val="Heading2"/>
    <w:next w:val="Normal"/>
    <w:qFormat/>
    <w:rsid w:val="00231ed4"/>
    <w:pPr>
      <w:spacing w:before="120" w:after="180"/>
      <w:outlineLvl w:val="2"/>
    </w:pPr>
    <w:rPr>
      <w:sz w:val="28"/>
    </w:rPr>
  </w:style>
  <w:style w:type="paragraph" w:styleId="Heading4">
    <w:name w:val="heading 4"/>
    <w:basedOn w:val="Heading3"/>
    <w:next w:val="Normal"/>
    <w:link w:val="Heading4Char"/>
    <w:qFormat/>
    <w:rsid w:val="00231ed4"/>
    <w:pPr>
      <w:ind w:hanging="1418" w:left="1418"/>
      <w:outlineLvl w:val="3"/>
    </w:pPr>
    <w:rPr>
      <w:sz w:val="24"/>
    </w:rPr>
  </w:style>
  <w:style w:type="paragraph" w:styleId="Heading5">
    <w:name w:val="heading 5"/>
    <w:basedOn w:val="Heading4"/>
    <w:next w:val="Normal"/>
    <w:qFormat/>
    <w:rsid w:val="00231ed4"/>
    <w:pPr>
      <w:ind w:hanging="1701" w:left="1701"/>
      <w:outlineLvl w:val="4"/>
    </w:pPr>
    <w:rPr>
      <w:sz w:val="22"/>
    </w:rPr>
  </w:style>
  <w:style w:type="paragraph" w:styleId="Heading6">
    <w:name w:val="heading 6"/>
    <w:basedOn w:val="H6"/>
    <w:next w:val="Normal"/>
    <w:link w:val="Heading6Char"/>
    <w:qFormat/>
    <w:rsid w:val="00231ed4"/>
    <w:pPr>
      <w:outlineLvl w:val="5"/>
    </w:pPr>
    <w:rPr/>
  </w:style>
  <w:style w:type="paragraph" w:styleId="Heading7">
    <w:name w:val="heading 7"/>
    <w:basedOn w:val="H6"/>
    <w:next w:val="Normal"/>
    <w:link w:val="Heading7Char"/>
    <w:qFormat/>
    <w:rsid w:val="00231ed4"/>
    <w:pPr>
      <w:outlineLvl w:val="6"/>
    </w:pPr>
    <w:rPr/>
  </w:style>
  <w:style w:type="paragraph" w:styleId="Heading8">
    <w:name w:val="heading 8"/>
    <w:basedOn w:val="Heading1"/>
    <w:next w:val="Normal"/>
    <w:qFormat/>
    <w:rsid w:val="00231ed4"/>
    <w:pPr>
      <w:ind w:hanging="0" w:left="0"/>
      <w:outlineLvl w:val="7"/>
    </w:pPr>
    <w:rPr/>
  </w:style>
  <w:style w:type="paragraph" w:styleId="Heading9">
    <w:name w:val="heading 9"/>
    <w:basedOn w:val="Heading8"/>
    <w:next w:val="Normal"/>
    <w:qFormat/>
    <w:rsid w:val="00231ed4"/>
    <w:pPr>
      <w:outlineLvl w:val="8"/>
    </w:pPr>
    <w:rPr/>
  </w:style>
  <w:style w:type="character" w:styleId="DefaultParagraphFont" w:default="1">
    <w:name w:val="Default Paragraph Font"/>
    <w:uiPriority w:val="1"/>
    <w:semiHidden/>
    <w:unhideWhenUsed/>
    <w:qFormat/>
    <w:rPr/>
  </w:style>
  <w:style w:type="character" w:styleId="FootnoteCharacters">
    <w:name w:val="Footnote Characters"/>
    <w:basedOn w:val="DefaultParagraphFont"/>
    <w:semiHidden/>
    <w:qFormat/>
    <w:rsid w:val="00231ed4"/>
    <w:rPr>
      <w:b/>
      <w:sz w:val="16"/>
      <w:vertAlign w:val="superscript"/>
    </w:rPr>
  </w:style>
  <w:style w:type="character" w:styleId="FootnoteReference">
    <w:name w:val="footnote reference"/>
    <w:rPr>
      <w:b/>
      <w:sz w:val="16"/>
      <w:vertAlign w:val="superscript"/>
    </w:rPr>
  </w:style>
  <w:style w:type="character" w:styleId="ZGSM" w:customStyle="1">
    <w:name w:val="ZGSM"/>
    <w:qFormat/>
    <w:rsid w:val="00231ed4"/>
    <w:rPr/>
  </w:style>
  <w:style w:type="character" w:styleId="PageNumber">
    <w:name w:val="page number"/>
    <w:basedOn w:val="DefaultParagraphFont"/>
    <w:rsid w:val="008d70d2"/>
    <w:rPr/>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character" w:styleId="BodyTextChar" w:customStyle="1">
    <w:name w:val="Body Text Char"/>
    <w:qFormat/>
    <w:rsid w:val="001d2c1a"/>
    <w:rPr>
      <w:rFonts w:eastAsia="MS Gothic"/>
      <w:sz w:val="24"/>
      <w:lang w:val="en-GB"/>
    </w:rPr>
  </w:style>
  <w:style w:type="character" w:styleId="BodyTextIndentChar" w:customStyle="1">
    <w:name w:val="Body Text Indent Char"/>
    <w:qFormat/>
    <w:rsid w:val="001d2c1a"/>
    <w:rPr>
      <w:rFonts w:eastAsia="MS Gothic"/>
      <w:sz w:val="24"/>
      <w:lang w:val="en-GB"/>
    </w:rPr>
  </w:style>
  <w:style w:type="character" w:styleId="DocumentMapChar" w:customStyle="1">
    <w:name w:val="Document Map Char"/>
    <w:link w:val="DocumentMap"/>
    <w:qFormat/>
    <w:rsid w:val="001d2c1a"/>
    <w:rPr>
      <w:rFonts w:ascii="Tahoma" w:hAnsi="Tahoma" w:eastAsia="MS Gothic"/>
      <w:sz w:val="24"/>
      <w:shd w:fill="000080" w:val="clear"/>
      <w:lang w:val="en-GB"/>
    </w:rPr>
  </w:style>
  <w:style w:type="character" w:styleId="PlainTextChar" w:customStyle="1">
    <w:name w:val="Plain Text Char"/>
    <w:link w:val="PlainText"/>
    <w:qFormat/>
    <w:rsid w:val="001d2c1a"/>
    <w:rPr>
      <w:rFonts w:ascii="Courier New" w:hAnsi="Courier New" w:eastAsia="MS Gothic"/>
      <w:sz w:val="24"/>
      <w:lang w:val="en-GB"/>
    </w:rPr>
  </w:style>
  <w:style w:type="character" w:styleId="BodyTextIndent2Char" w:customStyle="1">
    <w:name w:val="Body Text Indent 2 Char"/>
    <w:link w:val="BodyTextIndent2"/>
    <w:qFormat/>
    <w:rsid w:val="001d2c1a"/>
    <w:rPr>
      <w:rFonts w:eastAsia="MS Gothic"/>
      <w:kern w:val="2"/>
      <w:sz w:val="24"/>
      <w:lang w:val="en-GB"/>
    </w:rPr>
  </w:style>
  <w:style w:type="character" w:styleId="TitleChar" w:customStyle="1">
    <w:name w:val="Title Char"/>
    <w:link w:val="Title"/>
    <w:qFormat/>
    <w:rsid w:val="001d2c1a"/>
    <w:rPr>
      <w:rFonts w:ascii="Arial" w:hAnsi="Arial" w:eastAsia="MS Gothic"/>
      <w:b/>
      <w:sz w:val="24"/>
      <w:lang w:val="en-GB"/>
    </w:rPr>
  </w:style>
  <w:style w:type="character" w:styleId="BodyText3Char" w:customStyle="1">
    <w:name w:val="Body Text 3 Char"/>
    <w:link w:val="BodyText3"/>
    <w:qFormat/>
    <w:rsid w:val="001d2c1a"/>
    <w:rPr>
      <w:rFonts w:eastAsia="MS Gothic"/>
      <w:sz w:val="24"/>
      <w:lang w:val="en-GB"/>
    </w:rPr>
  </w:style>
  <w:style w:type="character" w:styleId="CommentReference">
    <w:name w:val="annotation reference"/>
    <w:qFormat/>
    <w:rsid w:val="001d2c1a"/>
    <w:rPr>
      <w:rFonts w:eastAsia="Times New Roman"/>
      <w:kern w:val="2"/>
      <w:sz w:val="16"/>
      <w:lang w:val="en-GB"/>
    </w:rPr>
  </w:style>
  <w:style w:type="character" w:styleId="BalloonTextChar" w:customStyle="1">
    <w:name w:val="Balloon Text Char"/>
    <w:link w:val="BalloonText"/>
    <w:qFormat/>
    <w:rsid w:val="001d2c1a"/>
    <w:rPr>
      <w:rFonts w:ascii="Arial" w:hAnsi="Arial" w:eastAsia="MS Gothic"/>
      <w:sz w:val="18"/>
      <w:lang w:val="en-GB"/>
    </w:rPr>
  </w:style>
  <w:style w:type="character" w:styleId="CommentTextChar" w:customStyle="1">
    <w:name w:val="Comment Text Char"/>
    <w:link w:val="CommentText"/>
    <w:qFormat/>
    <w:rsid w:val="001d2c1a"/>
    <w:rPr>
      <w:rFonts w:eastAsia="MS Gothic"/>
      <w:lang w:val="en-GB"/>
    </w:rPr>
  </w:style>
  <w:style w:type="character" w:styleId="Style5" w:customStyle="1">
    <w:name w:val="図表番号 (文字)"/>
    <w:uiPriority w:val="35"/>
    <w:qFormat/>
    <w:rsid w:val="001d2c1a"/>
    <w:rPr>
      <w:rFonts w:eastAsia="MS Gothic"/>
      <w:b/>
      <w:kern w:val="2"/>
      <w:sz w:val="24"/>
      <w:lang w:val="en-GB"/>
    </w:rPr>
  </w:style>
  <w:style w:type="character" w:styleId="CommentSubjectChar" w:customStyle="1">
    <w:name w:val="Comment Subject Char"/>
    <w:link w:val="annotationsubject"/>
    <w:qFormat/>
    <w:rsid w:val="001d2c1a"/>
    <w:rPr>
      <w:rFonts w:eastAsia="MS Gothic"/>
      <w:b/>
      <w:sz w:val="24"/>
      <w:lang w:val="en-GB"/>
    </w:rPr>
  </w:style>
  <w:style w:type="character" w:styleId="TACChar" w:customStyle="1">
    <w:name w:val="TAC Char"/>
    <w:link w:val="TAC"/>
    <w:qFormat/>
    <w:rsid w:val="001d2c1a"/>
    <w:rPr>
      <w:rFonts w:ascii="Arial" w:hAnsi="Arial" w:eastAsia="Times New Roman"/>
      <w:sz w:val="18"/>
      <w:lang w:val="en-GB" w:eastAsia="en-GB"/>
    </w:rPr>
  </w:style>
  <w:style w:type="character" w:styleId="TAHCar" w:customStyle="1">
    <w:name w:val="TAH Car"/>
    <w:link w:val="TAH"/>
    <w:qFormat/>
    <w:rsid w:val="001d2c1a"/>
    <w:rPr>
      <w:rFonts w:ascii="Arial" w:hAnsi="Arial" w:eastAsia="Times New Roman"/>
      <w:b/>
      <w:sz w:val="18"/>
      <w:lang w:val="en-GB" w:eastAsia="en-GB"/>
    </w:rPr>
  </w:style>
  <w:style w:type="character" w:styleId="HeaderChar" w:customStyle="1">
    <w:name w:val="Header Char"/>
    <w:link w:val="Header"/>
    <w:qFormat/>
    <w:locked/>
    <w:rsid w:val="001d2c1a"/>
    <w:rPr>
      <w:rFonts w:ascii="Arial" w:hAnsi="Arial" w:eastAsia="Times New Roman"/>
      <w:b/>
      <w:sz w:val="18"/>
      <w:lang w:val="en-GB" w:eastAsia="en-GB"/>
    </w:rPr>
  </w:style>
  <w:style w:type="character" w:styleId="Doc-text2Char" w:customStyle="1">
    <w:name w:val="Doc-text2 Char"/>
    <w:link w:val="Doc-text2"/>
    <w:qFormat/>
    <w:rsid w:val="001d2c1a"/>
    <w:rPr>
      <w:rFonts w:ascii="Arial" w:hAnsi="Arial"/>
      <w:szCs w:val="24"/>
      <w:lang w:val="en-GB" w:eastAsia="en-GB"/>
    </w:rPr>
  </w:style>
  <w:style w:type="character" w:styleId="Doc-titleChar" w:customStyle="1">
    <w:name w:val="Doc-title Char"/>
    <w:link w:val="Doc-title"/>
    <w:qFormat/>
    <w:rsid w:val="001d2c1a"/>
    <w:rPr>
      <w:rFonts w:ascii="Arial" w:hAnsi="Arial"/>
      <w:szCs w:val="24"/>
      <w:lang w:val="en-GB" w:eastAsia="en-GB"/>
    </w:rPr>
  </w:style>
  <w:style w:type="character" w:styleId="ListParagraphChar" w:customStyle="1">
    <w:name w:val="List Paragraph Char"/>
    <w:link w:val="ListParagraph"/>
    <w:uiPriority w:val="34"/>
    <w:qFormat/>
    <w:rsid w:val="001d2c1a"/>
    <w:rPr>
      <w:rFonts w:ascii="Century" w:hAnsi="Century"/>
      <w:kern w:val="2"/>
      <w:sz w:val="21"/>
      <w:szCs w:val="22"/>
    </w:rPr>
  </w:style>
  <w:style w:type="character" w:styleId="maintextChar" w:customStyle="1">
    <w:name w:val="main text Char"/>
    <w:link w:val="maintext"/>
    <w:qFormat/>
    <w:rsid w:val="001d2c1a"/>
    <w:rPr>
      <w:rFonts w:ascii="Calibri" w:hAnsi="Calibri" w:eastAsia="Malgun Gothic" w:cs="Batang"/>
      <w:lang w:val="en-GB" w:eastAsia="ko-KR"/>
    </w:rPr>
  </w:style>
  <w:style w:type="character" w:styleId="B1Char1" w:customStyle="1">
    <w:name w:val="B1 Char1"/>
    <w:link w:val="B1"/>
    <w:qFormat/>
    <w:locked/>
    <w:rsid w:val="001d2c1a"/>
    <w:rPr>
      <w:rFonts w:eastAsia="Times New Roman"/>
      <w:lang w:val="en-GB" w:eastAsia="en-GB"/>
    </w:rPr>
  </w:style>
  <w:style w:type="character" w:styleId="2222Char" w:customStyle="1">
    <w:name w:val="스타일 스타일 스타일 스타일 양쪽 첫 줄:  2 글자 + 첫 줄:  2 글자 + 첫 줄:  2 글자 + 첫 줄:  2... Char"/>
    <w:link w:val="2222"/>
    <w:qFormat/>
    <w:rsid w:val="001d2c1a"/>
    <w:rPr>
      <w:rFonts w:eastAsia="Malgun Gothic" w:cs="Batang"/>
      <w:lang w:val="en-GB" w:eastAsia="en-US"/>
    </w:rPr>
  </w:style>
  <w:style w:type="character" w:styleId="TANChar" w:customStyle="1">
    <w:name w:val="TAN Char"/>
    <w:link w:val="TAN"/>
    <w:qFormat/>
    <w:rsid w:val="001d2c1a"/>
    <w:rPr>
      <w:rFonts w:ascii="Arial" w:hAnsi="Arial" w:eastAsia="Times New Roman"/>
      <w:sz w:val="18"/>
      <w:lang w:val="en-GB" w:eastAsia="en-GB"/>
    </w:rPr>
  </w:style>
  <w:style w:type="character" w:styleId="FooterChar" w:customStyle="1">
    <w:name w:val="Footer Char"/>
    <w:link w:val="Footer"/>
    <w:qFormat/>
    <w:rsid w:val="001d2c1a"/>
    <w:rPr>
      <w:rFonts w:ascii="Arial" w:hAnsi="Arial" w:eastAsia="Times New Roman"/>
      <w:b/>
      <w:i/>
      <w:sz w:val="18"/>
      <w:lang w:val="en-GB" w:eastAsia="en-GB"/>
    </w:rPr>
  </w:style>
  <w:style w:type="character" w:styleId="THChar" w:customStyle="1">
    <w:name w:val="TH Char"/>
    <w:link w:val="TH"/>
    <w:qFormat/>
    <w:locked/>
    <w:rsid w:val="001d2c1a"/>
    <w:rPr>
      <w:rFonts w:ascii="Arial" w:hAnsi="Arial" w:eastAsia="Times New Roman"/>
      <w:b/>
      <w:lang w:val="en-GB" w:eastAsia="en-GB"/>
    </w:rPr>
  </w:style>
  <w:style w:type="character" w:styleId="TALCar" w:customStyle="1">
    <w:name w:val="TAL Car"/>
    <w:link w:val="TAL"/>
    <w:qFormat/>
    <w:locked/>
    <w:rsid w:val="001d2c1a"/>
    <w:rPr>
      <w:rFonts w:ascii="Arial" w:hAnsi="Arial" w:eastAsia="Times New Roman"/>
      <w:sz w:val="18"/>
      <w:lang w:val="en-GB" w:eastAsia="en-GB"/>
    </w:rPr>
  </w:style>
  <w:style w:type="character" w:styleId="Heading7Char" w:customStyle="1">
    <w:name w:val="Heading 7 Char"/>
    <w:link w:val="Heading7"/>
    <w:qFormat/>
    <w:rsid w:val="001d2c1a"/>
    <w:rPr>
      <w:rFonts w:ascii="Arial" w:hAnsi="Arial" w:eastAsia="Times New Roman"/>
      <w:lang w:val="en-GB" w:eastAsia="en-GB"/>
    </w:rPr>
  </w:style>
  <w:style w:type="character" w:styleId="Heading6Char" w:customStyle="1">
    <w:name w:val="Heading 6 Char"/>
    <w:basedOn w:val="DefaultParagraphFont"/>
    <w:link w:val="Heading6"/>
    <w:qFormat/>
    <w:rsid w:val="003a4b47"/>
    <w:rPr>
      <w:rFonts w:ascii="Arial" w:hAnsi="Arial" w:eastAsia="Times New Roman"/>
      <w:lang w:val="en-GB" w:eastAsia="en-GB"/>
    </w:rPr>
  </w:style>
  <w:style w:type="character" w:styleId="Emphasis">
    <w:name w:val="Emphasis"/>
    <w:basedOn w:val="DefaultParagraphFont"/>
    <w:qFormat/>
    <w:rsid w:val="00a86ab5"/>
    <w:rPr>
      <w:i/>
      <w:iCs/>
    </w:rPr>
  </w:style>
  <w:style w:type="character" w:styleId="Heading4Char" w:customStyle="1">
    <w:name w:val="Heading 4 Char"/>
    <w:link w:val="Heading4"/>
    <w:qFormat/>
    <w:rsid w:val="00507801"/>
    <w:rPr>
      <w:rFonts w:ascii="Arial" w:hAnsi="Arial" w:eastAsia="Times New Roman"/>
      <w:sz w:val="24"/>
      <w:lang w:val="en-GB" w:eastAsia="en-GB"/>
    </w:rPr>
  </w:style>
  <w:style w:type="character" w:styleId="Heading2Char" w:customStyle="1">
    <w:name w:val="Heading 2 Char"/>
    <w:link w:val="Heading2"/>
    <w:qFormat/>
    <w:rsid w:val="00af348e"/>
    <w:rPr>
      <w:rFonts w:ascii="Arial" w:hAnsi="Arial" w:eastAsia="Times New Roman"/>
      <w:sz w:val="32"/>
      <w:lang w:val="en-GB" w:eastAsia="en-GB"/>
    </w:rPr>
  </w:style>
  <w:style w:type="character" w:styleId="Bullets">
    <w:name w:val="Bullets"/>
    <w:qFormat/>
    <w:rPr>
      <w:rFonts w:ascii="OpenSymbol" w:hAnsi="OpenSymbol" w:eastAsia="OpenSymbol" w:cs="OpenSymbol"/>
    </w:rPr>
  </w:style>
  <w:style w:type="paragraph" w:styleId="Heading">
    <w:name w:val="Heading"/>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BodyTextChar"/>
    <w:rsid w:val="001d2c1a"/>
    <w:pPr>
      <w:overflowPunct w:val="false"/>
      <w:spacing w:before="0" w:after="120"/>
      <w:textAlignment w:val="auto"/>
    </w:pPr>
    <w:rPr>
      <w:rFonts w:eastAsia="MS Gothic"/>
      <w:sz w:val="24"/>
      <w:lang w:eastAsia="ja-JP"/>
    </w:rPr>
  </w:style>
  <w:style w:type="paragraph" w:styleId="List">
    <w:name w:val="List"/>
    <w:basedOn w:val="Normal"/>
    <w:rsid w:val="00231ed4"/>
    <w:pPr>
      <w:ind w:hanging="284" w:left="568"/>
    </w:pPr>
    <w:rPr/>
  </w:style>
  <w:style w:type="paragraph" w:styleId="Caption">
    <w:name w:val="caption"/>
    <w:basedOn w:val="Normal"/>
    <w:next w:val="Normal"/>
    <w:uiPriority w:val="35"/>
    <w:qFormat/>
    <w:rsid w:val="001d2c1a"/>
    <w:pPr>
      <w:overflowPunct w:val="false"/>
      <w:spacing w:before="120" w:after="120"/>
      <w:textAlignment w:val="auto"/>
    </w:pPr>
    <w:rPr>
      <w:rFonts w:eastAsia="MS Gothic"/>
      <w:b/>
      <w:sz w:val="24"/>
      <w:lang w:eastAsia="ja-JP"/>
    </w:rPr>
  </w:style>
  <w:style w:type="paragraph" w:styleId="Index">
    <w:name w:val="Index"/>
    <w:basedOn w:val="Normal"/>
    <w:qFormat/>
    <w:pPr>
      <w:suppressLineNumbers/>
    </w:pPr>
    <w:rPr>
      <w:rFonts w:cs="Arial Unicode MS"/>
    </w:rPr>
  </w:style>
  <w:style w:type="paragraph" w:styleId="FP" w:customStyle="1">
    <w:name w:val="FP"/>
    <w:basedOn w:val="Normal"/>
    <w:qFormat/>
    <w:rsid w:val="00231ed4"/>
    <w:pPr>
      <w:spacing w:before="0" w:after="0"/>
    </w:pPr>
    <w:rPr/>
  </w:style>
  <w:style w:type="paragraph" w:styleId="TOC8">
    <w:name w:val="toc 8"/>
    <w:basedOn w:val="TOC1"/>
    <w:rsid w:val="00231ed4"/>
    <w:pPr>
      <w:spacing w:before="180" w:after="180"/>
      <w:ind w:hanging="2693" w:left="2693"/>
    </w:pPr>
    <w:rPr>
      <w:b/>
    </w:rPr>
  </w:style>
  <w:style w:type="paragraph" w:styleId="TOC1">
    <w:name w:val="toc 1"/>
    <w:semiHidden/>
    <w:rsid w:val="00231ed4"/>
    <w:pPr>
      <w:keepNext w:val="true"/>
      <w:keepLines/>
      <w:widowControl w:val="false"/>
      <w:tabs>
        <w:tab w:val="clear" w:pos="567"/>
        <w:tab w:val="right" w:pos="9639" w:leader="dot"/>
      </w:tabs>
      <w:overflowPunct w:val="true"/>
      <w:bidi w:val="0"/>
      <w:spacing w:before="120" w:after="200" w:lineRule="auto" w:line="276"/>
      <w:ind w:hanging="567" w:left="567" w:right="425"/>
      <w:jc w:val="left"/>
      <w:textAlignment w:val="baseline"/>
    </w:pPr>
    <w:rPr>
      <w:rFonts w:eastAsia="Times New Roman" w:ascii="Times New Roman" w:hAnsi="Times New Roman" w:cs="Times New Roman"/>
      <w:color w:val="auto"/>
      <w:kern w:val="0"/>
      <w:sz w:val="22"/>
      <w:szCs w:val="20"/>
      <w:lang w:val="en-GB" w:eastAsia="en-GB" w:bidi="ar-SA"/>
    </w:rPr>
  </w:style>
  <w:style w:type="paragraph" w:styleId="ZT" w:customStyle="1">
    <w:name w:val="ZT"/>
    <w:qFormat/>
    <w:rsid w:val="00231ed4"/>
    <w:pPr>
      <w:widowControl w:val="false"/>
      <w:overflowPunct w:val="true"/>
      <w:bidi w:val="0"/>
      <w:spacing w:lineRule="atLeast" w:line="240" w:before="0" w:after="200"/>
      <w:jc w:val="right"/>
      <w:textAlignment w:val="baseline"/>
    </w:pPr>
    <w:rPr>
      <w:rFonts w:ascii="Arial" w:hAnsi="Arial" w:eastAsia="Times New Roman" w:cs="Times New Roman"/>
      <w:b/>
      <w:color w:val="auto"/>
      <w:kern w:val="0"/>
      <w:sz w:val="34"/>
      <w:szCs w:val="20"/>
      <w:lang w:val="en-GB" w:eastAsia="en-GB" w:bidi="ar-SA"/>
    </w:rPr>
  </w:style>
  <w:style w:type="paragraph" w:styleId="TOC5">
    <w:name w:val="toc 5"/>
    <w:basedOn w:val="TOC4"/>
    <w:rsid w:val="00231ed4"/>
    <w:pPr>
      <w:ind w:hanging="1701" w:left="1701"/>
    </w:pPr>
    <w:rPr/>
  </w:style>
  <w:style w:type="paragraph" w:styleId="TOC4">
    <w:name w:val="toc 4"/>
    <w:basedOn w:val="TOC3"/>
    <w:rsid w:val="00231ed4"/>
    <w:pPr>
      <w:ind w:hanging="1418" w:left="1418"/>
    </w:pPr>
    <w:rPr/>
  </w:style>
  <w:style w:type="paragraph" w:styleId="TOC3">
    <w:name w:val="toc 3"/>
    <w:basedOn w:val="TOC2"/>
    <w:rsid w:val="00231ed4"/>
    <w:pPr>
      <w:ind w:hanging="1134" w:left="1134"/>
    </w:pPr>
    <w:rPr/>
  </w:style>
  <w:style w:type="paragraph" w:styleId="TOC2">
    <w:name w:val="toc 2"/>
    <w:basedOn w:val="TOC1"/>
    <w:rsid w:val="00231ed4"/>
    <w:pPr>
      <w:keepNext w:val="false"/>
      <w:spacing w:before="0" w:after="200"/>
      <w:ind w:hanging="851" w:left="851"/>
    </w:pPr>
    <w:rPr>
      <w:sz w:val="20"/>
    </w:rPr>
  </w:style>
  <w:style w:type="paragraph" w:styleId="Index2">
    <w:name w:val="index 2"/>
    <w:basedOn w:val="Index1"/>
    <w:rsid w:val="00231ed4"/>
    <w:pPr>
      <w:ind w:left="284"/>
    </w:pPr>
    <w:rPr/>
  </w:style>
  <w:style w:type="paragraph" w:styleId="Index1">
    <w:name w:val="index 1"/>
    <w:basedOn w:val="Normal"/>
    <w:rsid w:val="00231ed4"/>
    <w:pPr>
      <w:keepLines/>
      <w:spacing w:before="0" w:after="0"/>
    </w:pPr>
    <w:rPr/>
  </w:style>
  <w:style w:type="paragraph" w:styleId="ZH" w:customStyle="1">
    <w:name w:val="ZH"/>
    <w:qFormat/>
    <w:rsid w:val="00231ed4"/>
    <w:pPr>
      <w:widowControl w:val="false"/>
      <w:overflowPunct w:val="true"/>
      <w:bidi w:val="0"/>
      <w:spacing w:before="0" w:after="200" w:lineRule="auto" w:line="276"/>
      <w:jc w:val="left"/>
      <w:textAlignment w:val="baseline"/>
    </w:pPr>
    <w:rPr>
      <w:rFonts w:ascii="Arial" w:hAnsi="Arial" w:eastAsia="Times New Roman" w:cs="Times New Roman"/>
      <w:color w:val="auto"/>
      <w:kern w:val="0"/>
      <w:sz w:val="20"/>
      <w:szCs w:val="20"/>
      <w:lang w:val="en-GB" w:eastAsia="en-GB" w:bidi="ar-SA"/>
    </w:rPr>
  </w:style>
  <w:style w:type="paragraph" w:styleId="TT" w:customStyle="1">
    <w:name w:val="TT"/>
    <w:basedOn w:val="Heading1"/>
    <w:next w:val="Normal"/>
    <w:qFormat/>
    <w:rsid w:val="00231ed4"/>
    <w:pPr>
      <w:outlineLvl w:val="9"/>
    </w:pPr>
    <w:rPr/>
  </w:style>
  <w:style w:type="paragraph" w:styleId="ListNumber2">
    <w:name w:val="List Number 2"/>
    <w:basedOn w:val="ListNumber"/>
    <w:rsid w:val="00231ed4"/>
    <w:pPr>
      <w:ind w:left="851"/>
    </w:pPr>
    <w:rPr/>
  </w:style>
  <w:style w:type="paragraph" w:styleId="ListNumber">
    <w:name w:val="List Number"/>
    <w:basedOn w:val="List"/>
    <w:rsid w:val="00231ed4"/>
    <w:pPr/>
    <w:rPr/>
  </w:style>
  <w:style w:type="paragraph" w:styleId="HeaderandFooter">
    <w:name w:val="Header and Footer"/>
    <w:basedOn w:val="Normal"/>
    <w:qFormat/>
    <w:pPr/>
    <w:rPr/>
  </w:style>
  <w:style w:type="paragraph" w:styleId="Header">
    <w:name w:val="header"/>
    <w:link w:val="HeaderChar"/>
    <w:rsid w:val="00231ed4"/>
    <w:pPr>
      <w:widowControl w:val="false"/>
      <w:overflowPunct w:val="true"/>
      <w:bidi w:val="0"/>
      <w:spacing w:before="0" w:after="200" w:lineRule="auto" w:line="276"/>
      <w:jc w:val="left"/>
      <w:textAlignment w:val="baseline"/>
    </w:pPr>
    <w:rPr>
      <w:rFonts w:ascii="Arial" w:hAnsi="Arial" w:eastAsia="Times New Roman" w:cs="Times New Roman"/>
      <w:b/>
      <w:color w:val="auto"/>
      <w:kern w:val="0"/>
      <w:sz w:val="18"/>
      <w:szCs w:val="20"/>
      <w:lang w:val="en-GB" w:eastAsia="en-GB" w:bidi="ar-SA"/>
    </w:rPr>
  </w:style>
  <w:style w:type="paragraph" w:styleId="FootnoteText">
    <w:name w:val="footnote text"/>
    <w:basedOn w:val="Normal"/>
    <w:semiHidden/>
    <w:rsid w:val="00231ed4"/>
    <w:pPr>
      <w:keepLines/>
      <w:spacing w:before="0" w:after="0"/>
      <w:ind w:hanging="454" w:left="454"/>
    </w:pPr>
    <w:rPr>
      <w:sz w:val="16"/>
    </w:rPr>
  </w:style>
  <w:style w:type="paragraph" w:styleId="TAH" w:customStyle="1">
    <w:name w:val="TAH"/>
    <w:basedOn w:val="TAC"/>
    <w:link w:val="TAHCar"/>
    <w:qFormat/>
    <w:rsid w:val="00231ed4"/>
    <w:pPr/>
    <w:rPr>
      <w:b/>
    </w:rPr>
  </w:style>
  <w:style w:type="paragraph" w:styleId="TAC" w:customStyle="1">
    <w:name w:val="TAC"/>
    <w:basedOn w:val="TAL"/>
    <w:link w:val="TACChar"/>
    <w:qFormat/>
    <w:rsid w:val="00231ed4"/>
    <w:pPr>
      <w:jc w:val="center"/>
    </w:pPr>
    <w:rPr/>
  </w:style>
  <w:style w:type="paragraph" w:styleId="TF" w:customStyle="1">
    <w:name w:val="TF"/>
    <w:basedOn w:val="TH"/>
    <w:qFormat/>
    <w:rsid w:val="00231ed4"/>
    <w:pPr>
      <w:keepNext w:val="false"/>
      <w:spacing w:before="0" w:after="240"/>
    </w:pPr>
    <w:rPr/>
  </w:style>
  <w:style w:type="paragraph" w:styleId="NO" w:customStyle="1">
    <w:name w:val="NO"/>
    <w:basedOn w:val="Normal"/>
    <w:qFormat/>
    <w:rsid w:val="00231ed4"/>
    <w:pPr>
      <w:keepLines/>
      <w:ind w:hanging="851" w:left="1135"/>
    </w:pPr>
    <w:rPr/>
  </w:style>
  <w:style w:type="paragraph" w:styleId="TOC9">
    <w:name w:val="toc 9"/>
    <w:basedOn w:val="TOC8"/>
    <w:rsid w:val="00231ed4"/>
    <w:pPr>
      <w:ind w:hanging="1418" w:left="1418"/>
    </w:pPr>
    <w:rPr/>
  </w:style>
  <w:style w:type="paragraph" w:styleId="EX" w:customStyle="1">
    <w:name w:val="EX"/>
    <w:basedOn w:val="Normal"/>
    <w:qFormat/>
    <w:rsid w:val="00231ed4"/>
    <w:pPr>
      <w:keepLines/>
      <w:ind w:hanging="1418" w:left="1702"/>
    </w:pPr>
    <w:rPr/>
  </w:style>
  <w:style w:type="paragraph" w:styleId="LD" w:customStyle="1">
    <w:name w:val="LD"/>
    <w:qFormat/>
    <w:rsid w:val="00231ed4"/>
    <w:pPr>
      <w:keepNext w:val="true"/>
      <w:keepLines/>
      <w:widowControl/>
      <w:overflowPunct w:val="true"/>
      <w:bidi w:val="0"/>
      <w:spacing w:lineRule="exact" w:line="180" w:before="0" w:after="200"/>
      <w:jc w:val="left"/>
      <w:textAlignment w:val="baseline"/>
    </w:pPr>
    <w:rPr>
      <w:rFonts w:ascii="Courier New" w:hAnsi="Courier New" w:eastAsia="Times New Roman" w:cs="Times New Roman"/>
      <w:color w:val="auto"/>
      <w:kern w:val="0"/>
      <w:sz w:val="20"/>
      <w:szCs w:val="20"/>
      <w:lang w:val="en-GB" w:eastAsia="en-GB" w:bidi="ar-SA"/>
    </w:rPr>
  </w:style>
  <w:style w:type="paragraph" w:styleId="NW" w:customStyle="1">
    <w:name w:val="NW"/>
    <w:basedOn w:val="NO"/>
    <w:qFormat/>
    <w:rsid w:val="00231ed4"/>
    <w:pPr>
      <w:spacing w:before="0" w:after="0"/>
    </w:pPr>
    <w:rPr/>
  </w:style>
  <w:style w:type="paragraph" w:styleId="EW" w:customStyle="1">
    <w:name w:val="EW"/>
    <w:basedOn w:val="EX"/>
    <w:qFormat/>
    <w:rsid w:val="00231ed4"/>
    <w:pPr>
      <w:spacing w:before="0" w:after="0"/>
    </w:pPr>
    <w:rPr/>
  </w:style>
  <w:style w:type="paragraph" w:styleId="TOC6">
    <w:name w:val="toc 6"/>
    <w:basedOn w:val="TOC5"/>
    <w:next w:val="Normal"/>
    <w:rsid w:val="00231ed4"/>
    <w:pPr>
      <w:ind w:hanging="1985" w:left="1985"/>
    </w:pPr>
    <w:rPr/>
  </w:style>
  <w:style w:type="paragraph" w:styleId="TOC7">
    <w:name w:val="toc 7"/>
    <w:basedOn w:val="TOC6"/>
    <w:next w:val="Normal"/>
    <w:rsid w:val="00231ed4"/>
    <w:pPr>
      <w:ind w:hanging="2268" w:left="2268"/>
    </w:pPr>
    <w:rPr/>
  </w:style>
  <w:style w:type="paragraph" w:styleId="ListBullet2">
    <w:name w:val="List Bullet 2"/>
    <w:basedOn w:val="ListBullet"/>
    <w:rsid w:val="00231ed4"/>
    <w:pPr>
      <w:ind w:left="851"/>
    </w:pPr>
    <w:rPr/>
  </w:style>
  <w:style w:type="paragraph" w:styleId="ListBullet">
    <w:name w:val="List Bullet"/>
    <w:basedOn w:val="List"/>
    <w:rsid w:val="00231ed4"/>
    <w:pPr/>
    <w:rPr/>
  </w:style>
  <w:style w:type="paragraph" w:styleId="ListBullet3">
    <w:name w:val="List Bullet 3"/>
    <w:basedOn w:val="ListBullet2"/>
    <w:rsid w:val="00231ed4"/>
    <w:pPr>
      <w:ind w:left="1135"/>
    </w:pPr>
    <w:rPr/>
  </w:style>
  <w:style w:type="paragraph" w:styleId="EQ" w:customStyle="1">
    <w:name w:val="EQ"/>
    <w:basedOn w:val="Normal"/>
    <w:next w:val="Normal"/>
    <w:qFormat/>
    <w:rsid w:val="00231ed4"/>
    <w:pPr>
      <w:keepLines/>
      <w:tabs>
        <w:tab w:val="clear" w:pos="567"/>
        <w:tab w:val="center" w:pos="4536" w:leader="none"/>
        <w:tab w:val="right" w:pos="9072" w:leader="none"/>
      </w:tabs>
    </w:pPr>
    <w:rPr/>
  </w:style>
  <w:style w:type="paragraph" w:styleId="TH" w:customStyle="1">
    <w:name w:val="TH"/>
    <w:basedOn w:val="Normal"/>
    <w:link w:val="THChar"/>
    <w:qFormat/>
    <w:rsid w:val="00231ed4"/>
    <w:pPr>
      <w:keepNext w:val="true"/>
      <w:keepLines/>
      <w:spacing w:before="60" w:after="180"/>
      <w:jc w:val="center"/>
    </w:pPr>
    <w:rPr>
      <w:rFonts w:ascii="Arial" w:hAnsi="Arial"/>
      <w:b/>
    </w:rPr>
  </w:style>
  <w:style w:type="paragraph" w:styleId="NF" w:customStyle="1">
    <w:name w:val="NF"/>
    <w:basedOn w:val="NO"/>
    <w:qFormat/>
    <w:rsid w:val="00231ed4"/>
    <w:pPr>
      <w:keepNext w:val="true"/>
      <w:spacing w:before="0" w:after="0"/>
    </w:pPr>
    <w:rPr>
      <w:rFonts w:ascii="Arial" w:hAnsi="Arial"/>
      <w:sz w:val="18"/>
    </w:rPr>
  </w:style>
  <w:style w:type="paragraph" w:styleId="PL" w:customStyle="1">
    <w:name w:val="PL"/>
    <w:qFormat/>
    <w:rsid w:val="00231ed4"/>
    <w:pPr>
      <w:widowControl/>
      <w:tabs>
        <w:tab w:val="clear" w:pos="567"/>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overflowPunct w:val="true"/>
      <w:bidi w:val="0"/>
      <w:spacing w:before="0" w:after="200" w:lineRule="auto" w:line="276"/>
      <w:jc w:val="left"/>
      <w:textAlignment w:val="baseline"/>
    </w:pPr>
    <w:rPr>
      <w:rFonts w:ascii="Courier New" w:hAnsi="Courier New" w:eastAsia="Times New Roman" w:cs="Times New Roman"/>
      <w:color w:val="auto"/>
      <w:kern w:val="0"/>
      <w:sz w:val="16"/>
      <w:szCs w:val="20"/>
      <w:lang w:val="en-GB" w:eastAsia="en-GB" w:bidi="ar-SA"/>
    </w:rPr>
  </w:style>
  <w:style w:type="paragraph" w:styleId="TAR" w:customStyle="1">
    <w:name w:val="TAR"/>
    <w:basedOn w:val="TAL"/>
    <w:qFormat/>
    <w:rsid w:val="00231ed4"/>
    <w:pPr>
      <w:jc w:val="right"/>
    </w:pPr>
    <w:rPr/>
  </w:style>
  <w:style w:type="paragraph" w:styleId="H6" w:customStyle="1">
    <w:name w:val="H6"/>
    <w:basedOn w:val="Heading5"/>
    <w:next w:val="Normal"/>
    <w:qFormat/>
    <w:rsid w:val="00231ed4"/>
    <w:pPr>
      <w:ind w:hanging="1985" w:left="1985"/>
      <w:outlineLvl w:val="9"/>
    </w:pPr>
    <w:rPr>
      <w:sz w:val="20"/>
    </w:rPr>
  </w:style>
  <w:style w:type="paragraph" w:styleId="TAN" w:customStyle="1">
    <w:name w:val="TAN"/>
    <w:basedOn w:val="TAL"/>
    <w:link w:val="TANChar"/>
    <w:qFormat/>
    <w:rsid w:val="00231ed4"/>
    <w:pPr>
      <w:ind w:hanging="851" w:left="851"/>
    </w:pPr>
    <w:rPr/>
  </w:style>
  <w:style w:type="paragraph" w:styleId="TAL" w:customStyle="1">
    <w:name w:val="TAL"/>
    <w:basedOn w:val="Normal"/>
    <w:link w:val="TALCar"/>
    <w:qFormat/>
    <w:rsid w:val="00231ed4"/>
    <w:pPr>
      <w:keepNext w:val="true"/>
      <w:keepLines/>
      <w:spacing w:before="0" w:after="0"/>
    </w:pPr>
    <w:rPr>
      <w:rFonts w:ascii="Arial" w:hAnsi="Arial"/>
      <w:sz w:val="18"/>
    </w:rPr>
  </w:style>
  <w:style w:type="paragraph" w:styleId="ZA" w:customStyle="1">
    <w:name w:val="ZA"/>
    <w:qFormat/>
    <w:rsid w:val="00231ed4"/>
    <w:pPr>
      <w:widowControl w:val="false"/>
      <w:pBdr>
        <w:bottom w:val="single" w:sz="12" w:space="1" w:color="000000"/>
      </w:pBdr>
      <w:overflowPunct w:val="true"/>
      <w:bidi w:val="0"/>
      <w:spacing w:before="0" w:after="200" w:lineRule="auto" w:line="276"/>
      <w:jc w:val="right"/>
      <w:textAlignment w:val="baseline"/>
    </w:pPr>
    <w:rPr>
      <w:rFonts w:ascii="Arial" w:hAnsi="Arial" w:eastAsia="Times New Roman" w:cs="Times New Roman"/>
      <w:color w:val="auto"/>
      <w:kern w:val="0"/>
      <w:sz w:val="40"/>
      <w:szCs w:val="20"/>
      <w:lang w:val="en-GB" w:eastAsia="en-GB" w:bidi="ar-SA"/>
    </w:rPr>
  </w:style>
  <w:style w:type="paragraph" w:styleId="ZB" w:customStyle="1">
    <w:name w:val="ZB"/>
    <w:qFormat/>
    <w:rsid w:val="00231ed4"/>
    <w:pPr>
      <w:widowControl w:val="false"/>
      <w:overflowPunct w:val="true"/>
      <w:bidi w:val="0"/>
      <w:spacing w:before="0" w:after="200" w:lineRule="auto" w:line="276"/>
      <w:ind w:right="28"/>
      <w:jc w:val="right"/>
      <w:textAlignment w:val="baseline"/>
    </w:pPr>
    <w:rPr>
      <w:rFonts w:ascii="Arial" w:hAnsi="Arial" w:eastAsia="Times New Roman" w:cs="Times New Roman"/>
      <w:i/>
      <w:color w:val="auto"/>
      <w:kern w:val="0"/>
      <w:sz w:val="20"/>
      <w:szCs w:val="20"/>
      <w:lang w:val="en-GB" w:eastAsia="en-GB" w:bidi="ar-SA"/>
    </w:rPr>
  </w:style>
  <w:style w:type="paragraph" w:styleId="ZD" w:customStyle="1">
    <w:name w:val="ZD"/>
    <w:qFormat/>
    <w:rsid w:val="00231ed4"/>
    <w:pPr>
      <w:widowControl w:val="false"/>
      <w:overflowPunct w:val="true"/>
      <w:bidi w:val="0"/>
      <w:spacing w:before="0" w:after="200" w:lineRule="auto" w:line="276"/>
      <w:jc w:val="left"/>
      <w:textAlignment w:val="baseline"/>
    </w:pPr>
    <w:rPr>
      <w:rFonts w:ascii="Arial" w:hAnsi="Arial" w:eastAsia="Times New Roman" w:cs="Times New Roman"/>
      <w:color w:val="auto"/>
      <w:kern w:val="0"/>
      <w:sz w:val="32"/>
      <w:szCs w:val="20"/>
      <w:lang w:val="en-GB" w:eastAsia="en-GB" w:bidi="ar-SA"/>
    </w:rPr>
  </w:style>
  <w:style w:type="paragraph" w:styleId="ZU" w:customStyle="1">
    <w:name w:val="ZU"/>
    <w:qFormat/>
    <w:rsid w:val="00231ed4"/>
    <w:pPr>
      <w:widowControl w:val="false"/>
      <w:pBdr>
        <w:top w:val="single" w:sz="12" w:space="1" w:color="000000"/>
      </w:pBdr>
      <w:overflowPunct w:val="true"/>
      <w:bidi w:val="0"/>
      <w:spacing w:before="0" w:after="200" w:lineRule="auto" w:line="276"/>
      <w:jc w:val="right"/>
      <w:textAlignment w:val="baseline"/>
    </w:pPr>
    <w:rPr>
      <w:rFonts w:ascii="Arial" w:hAnsi="Arial" w:eastAsia="Times New Roman" w:cs="Times New Roman"/>
      <w:color w:val="auto"/>
      <w:kern w:val="0"/>
      <w:sz w:val="20"/>
      <w:szCs w:val="20"/>
      <w:lang w:val="en-GB" w:eastAsia="en-GB" w:bidi="ar-SA"/>
    </w:rPr>
  </w:style>
  <w:style w:type="paragraph" w:styleId="ZV" w:customStyle="1">
    <w:name w:val="ZV"/>
    <w:basedOn w:val="ZU"/>
    <w:qFormat/>
    <w:rsid w:val="00231ed4"/>
    <w:pPr/>
    <w:rPr/>
  </w:style>
  <w:style w:type="paragraph" w:styleId="List2">
    <w:name w:val="List 2"/>
    <w:basedOn w:val="List"/>
    <w:qFormat/>
    <w:rsid w:val="00231ed4"/>
    <w:pPr>
      <w:ind w:left="851"/>
    </w:pPr>
    <w:rPr/>
  </w:style>
  <w:style w:type="paragraph" w:styleId="ZG" w:customStyle="1">
    <w:name w:val="ZG"/>
    <w:qFormat/>
    <w:rsid w:val="00231ed4"/>
    <w:pPr>
      <w:widowControl w:val="false"/>
      <w:overflowPunct w:val="true"/>
      <w:bidi w:val="0"/>
      <w:spacing w:before="0" w:after="200" w:lineRule="auto" w:line="276"/>
      <w:jc w:val="right"/>
      <w:textAlignment w:val="baseline"/>
    </w:pPr>
    <w:rPr>
      <w:rFonts w:ascii="Arial" w:hAnsi="Arial" w:eastAsia="Times New Roman" w:cs="Times New Roman"/>
      <w:color w:val="auto"/>
      <w:kern w:val="0"/>
      <w:sz w:val="20"/>
      <w:szCs w:val="20"/>
      <w:lang w:val="en-GB" w:eastAsia="en-GB" w:bidi="ar-SA"/>
    </w:rPr>
  </w:style>
  <w:style w:type="paragraph" w:styleId="List3">
    <w:name w:val="List 3"/>
    <w:basedOn w:val="List2"/>
    <w:qFormat/>
    <w:rsid w:val="00231ed4"/>
    <w:pPr>
      <w:ind w:left="1135"/>
    </w:pPr>
    <w:rPr/>
  </w:style>
  <w:style w:type="paragraph" w:styleId="List4">
    <w:name w:val="List 4"/>
    <w:basedOn w:val="List3"/>
    <w:qFormat/>
    <w:rsid w:val="00231ed4"/>
    <w:pPr>
      <w:ind w:left="1418"/>
    </w:pPr>
    <w:rPr/>
  </w:style>
  <w:style w:type="paragraph" w:styleId="List5">
    <w:name w:val="List 5"/>
    <w:basedOn w:val="List4"/>
    <w:qFormat/>
    <w:rsid w:val="00231ed4"/>
    <w:pPr>
      <w:ind w:left="1702"/>
    </w:pPr>
    <w:rPr/>
  </w:style>
  <w:style w:type="paragraph" w:styleId="EditorsNote" w:customStyle="1">
    <w:name w:val="Editor's Note"/>
    <w:basedOn w:val="NO"/>
    <w:qFormat/>
    <w:rsid w:val="00231ed4"/>
    <w:pPr/>
    <w:rPr>
      <w:color w:val="FF0000"/>
    </w:rPr>
  </w:style>
  <w:style w:type="paragraph" w:styleId="ListBullet4">
    <w:name w:val="List Bullet 4"/>
    <w:basedOn w:val="ListBullet3"/>
    <w:rsid w:val="00231ed4"/>
    <w:pPr>
      <w:ind w:left="1418"/>
    </w:pPr>
    <w:rPr/>
  </w:style>
  <w:style w:type="paragraph" w:styleId="ListBullet5">
    <w:name w:val="List Bullet 5"/>
    <w:basedOn w:val="ListBullet4"/>
    <w:rsid w:val="00231ed4"/>
    <w:pPr>
      <w:ind w:left="1702"/>
    </w:pPr>
    <w:rPr/>
  </w:style>
  <w:style w:type="paragraph" w:styleId="B1" w:customStyle="1">
    <w:name w:val="B1"/>
    <w:basedOn w:val="List"/>
    <w:link w:val="B1Char1"/>
    <w:qFormat/>
    <w:rsid w:val="00231ed4"/>
    <w:pPr/>
    <w:rPr/>
  </w:style>
  <w:style w:type="paragraph" w:styleId="B2" w:customStyle="1">
    <w:name w:val="B2"/>
    <w:basedOn w:val="List2"/>
    <w:qFormat/>
    <w:rsid w:val="00231ed4"/>
    <w:pPr/>
    <w:rPr/>
  </w:style>
  <w:style w:type="paragraph" w:styleId="B3" w:customStyle="1">
    <w:name w:val="B3"/>
    <w:basedOn w:val="List3"/>
    <w:qFormat/>
    <w:rsid w:val="00231ed4"/>
    <w:pPr/>
    <w:rPr/>
  </w:style>
  <w:style w:type="paragraph" w:styleId="B4" w:customStyle="1">
    <w:name w:val="B4"/>
    <w:basedOn w:val="List4"/>
    <w:qFormat/>
    <w:rsid w:val="00231ed4"/>
    <w:pPr/>
    <w:rPr/>
  </w:style>
  <w:style w:type="paragraph" w:styleId="B5" w:customStyle="1">
    <w:name w:val="B5"/>
    <w:basedOn w:val="List5"/>
    <w:qFormat/>
    <w:rsid w:val="00231ed4"/>
    <w:pPr/>
    <w:rPr/>
  </w:style>
  <w:style w:type="paragraph" w:styleId="Footer">
    <w:name w:val="footer"/>
    <w:basedOn w:val="Header"/>
    <w:link w:val="FooterChar"/>
    <w:rsid w:val="00231ed4"/>
    <w:pPr>
      <w:jc w:val="center"/>
    </w:pPr>
    <w:rPr>
      <w:i/>
    </w:rPr>
  </w:style>
  <w:style w:type="paragraph" w:styleId="ZTD" w:customStyle="1">
    <w:name w:val="ZTD"/>
    <w:basedOn w:val="ZB"/>
    <w:qFormat/>
    <w:rsid w:val="00231ed4"/>
    <w:pPr/>
    <w:rPr>
      <w:i w:val="false"/>
      <w:sz w:val="40"/>
    </w:rPr>
  </w:style>
  <w:style w:type="paragraph" w:styleId="Heading1unnumbered" w:customStyle="1">
    <w:name w:val="Heading 1 unnumbered"/>
    <w:basedOn w:val="Heading1"/>
    <w:next w:val="BodyText"/>
    <w:qFormat/>
    <w:rsid w:val="001d2c1a"/>
    <w:pPr>
      <w:keepLines w:val="false"/>
      <w:pBdr>
        <w:top w:val="nil"/>
      </w:pBdr>
      <w:tabs>
        <w:tab w:val="clear" w:pos="567"/>
        <w:tab w:val="left" w:pos="0" w:leader="none"/>
        <w:tab w:val="left" w:pos="360" w:leader="none"/>
      </w:tabs>
      <w:overflowPunct w:val="false"/>
      <w:spacing w:before="360" w:after="240"/>
      <w:ind w:hanging="360" w:left="360"/>
      <w:textAlignment w:val="auto"/>
      <w:outlineLvl w:val="9"/>
    </w:pPr>
    <w:rPr>
      <w:rFonts w:ascii="Times New Roman" w:hAnsi="Times New Roman" w:eastAsia="MS Gothic"/>
      <w:kern w:val="2"/>
      <w:sz w:val="32"/>
      <w:lang w:eastAsia="ja-JP"/>
    </w:rPr>
  </w:style>
  <w:style w:type="paragraph" w:styleId="BodyTextIndent">
    <w:name w:val="Body Text Indent"/>
    <w:basedOn w:val="Normal"/>
    <w:link w:val="BodyTextIndentChar"/>
    <w:rsid w:val="001d2c1a"/>
    <w:pPr>
      <w:overflowPunct w:val="false"/>
      <w:spacing w:before="0" w:after="0"/>
      <w:ind w:left="360"/>
      <w:textAlignment w:val="auto"/>
    </w:pPr>
    <w:rPr>
      <w:rFonts w:eastAsia="MS Gothic"/>
      <w:sz w:val="24"/>
      <w:lang w:eastAsia="ja-JP"/>
    </w:rPr>
  </w:style>
  <w:style w:type="paragraph" w:styleId="DocumentMap">
    <w:name w:val="Document Map"/>
    <w:basedOn w:val="Normal"/>
    <w:link w:val="DocumentMapChar"/>
    <w:qFormat/>
    <w:rsid w:val="001d2c1a"/>
    <w:pPr>
      <w:shd w:val="clear" w:color="auto" w:fill="000080"/>
      <w:overflowPunct w:val="false"/>
      <w:spacing w:before="0" w:after="0"/>
      <w:textAlignment w:val="auto"/>
    </w:pPr>
    <w:rPr>
      <w:rFonts w:ascii="Tahoma" w:hAnsi="Tahoma" w:eastAsia="MS Gothic"/>
      <w:sz w:val="24"/>
      <w:lang w:eastAsia="ja-JP"/>
    </w:rPr>
  </w:style>
  <w:style w:type="paragraph" w:styleId="PlainText">
    <w:name w:val="Plain Text"/>
    <w:basedOn w:val="Normal"/>
    <w:link w:val="PlainTextChar"/>
    <w:qFormat/>
    <w:rsid w:val="001d2c1a"/>
    <w:pPr>
      <w:overflowPunct w:val="false"/>
      <w:spacing w:before="0" w:after="0"/>
      <w:textAlignment w:val="auto"/>
    </w:pPr>
    <w:rPr>
      <w:rFonts w:ascii="Courier New" w:hAnsi="Courier New" w:eastAsia="MS Gothic"/>
      <w:sz w:val="24"/>
      <w:lang w:eastAsia="ja-JP"/>
    </w:rPr>
  </w:style>
  <w:style w:type="paragraph" w:styleId="lptext" w:customStyle="1">
    <w:name w:val="lˆptext"/>
    <w:basedOn w:val="Normal"/>
    <w:qFormat/>
    <w:rsid w:val="001d2c1a"/>
    <w:pPr>
      <w:overflowPunct w:val="false"/>
      <w:spacing w:before="100" w:after="100"/>
      <w:ind w:left="860"/>
      <w:textAlignment w:val="auto"/>
    </w:pPr>
    <w:rPr>
      <w:rFonts w:ascii="Times" w:hAnsi="Times" w:eastAsia="MS Gothic"/>
      <w:sz w:val="24"/>
      <w:lang w:eastAsia="ja-JP"/>
    </w:rPr>
  </w:style>
  <w:style w:type="paragraph" w:styleId="Style6" w:customStyle="1">
    <w:name w:val="佐藤２"/>
    <w:basedOn w:val="Normal"/>
    <w:qFormat/>
    <w:rsid w:val="001d2c1a"/>
    <w:pPr>
      <w:numPr>
        <w:ilvl w:val="0"/>
        <w:numId w:val="5"/>
      </w:numPr>
      <w:overflowPunct w:val="false"/>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false"/>
      <w:overflowPunct w:val="false"/>
      <w:spacing w:before="0" w:after="0"/>
      <w:ind w:left="1656"/>
      <w:jc w:val="both"/>
    </w:pPr>
    <w:rPr>
      <w:rFonts w:eastAsia="MS Gothic"/>
      <w:kern w:val="2"/>
      <w:sz w:val="24"/>
      <w:lang w:eastAsia="ja-JP"/>
    </w:rPr>
  </w:style>
  <w:style w:type="paragraph" w:styleId="ListBulletLast" w:customStyle="1">
    <w:name w:val="List Bullet Last"/>
    <w:basedOn w:val="ListBullet"/>
    <w:next w:val="BodyText"/>
    <w:qFormat/>
    <w:rsid w:val="001d2c1a"/>
    <w:pPr>
      <w:overflowPunct w:val="false"/>
      <w:spacing w:before="0" w:after="240"/>
      <w:ind w:hanging="357" w:left="714"/>
      <w:textAlignment w:val="auto"/>
    </w:pPr>
    <w:rPr>
      <w:rFonts w:ascii="Arial" w:hAnsi="Arial" w:eastAsia="MS Gothic"/>
      <w:sz w:val="24"/>
      <w:lang w:eastAsia="ja-JP"/>
    </w:rPr>
  </w:style>
  <w:style w:type="paragraph" w:styleId="TitleText" w:customStyle="1">
    <w:name w:val="Title Text"/>
    <w:basedOn w:val="Normal"/>
    <w:next w:val="Normal"/>
    <w:qFormat/>
    <w:rsid w:val="001d2c1a"/>
    <w:pPr>
      <w:overflowPunct w:val="false"/>
      <w:spacing w:before="0" w:after="220"/>
      <w:textAlignment w:val="auto"/>
    </w:pPr>
    <w:rPr>
      <w:rFonts w:ascii="Arial" w:hAnsi="Arial" w:eastAsia="MS Gothic"/>
      <w:b/>
      <w:sz w:val="22"/>
      <w:lang w:eastAsia="ja-JP"/>
    </w:rPr>
  </w:style>
  <w:style w:type="paragraph" w:styleId="Title">
    <w:name w:val="Title"/>
    <w:basedOn w:val="Normal"/>
    <w:link w:val="TitleChar"/>
    <w:qFormat/>
    <w:rsid w:val="001d2c1a"/>
    <w:pPr>
      <w:overflowPunct w:val="false"/>
      <w:spacing w:before="0" w:after="0"/>
      <w:jc w:val="center"/>
      <w:textAlignment w:val="auto"/>
    </w:pPr>
    <w:rPr>
      <w:rFonts w:ascii="Arial" w:hAnsi="Arial" w:eastAsia="MS Gothic"/>
      <w:b/>
      <w:sz w:val="24"/>
      <w:lang w:eastAsia="ja-JP"/>
    </w:rPr>
  </w:style>
  <w:style w:type="paragraph" w:styleId="TableofFigures">
    <w:name w:val="table of figures"/>
    <w:basedOn w:val="TOC1"/>
    <w:next w:val="Normal"/>
    <w:rsid w:val="001d2c1a"/>
    <w:pPr>
      <w:keepNext w:val="false"/>
      <w:keepLines w:val="false"/>
      <w:widowControl/>
      <w:tabs>
        <w:tab w:val="clear" w:pos="9639"/>
        <w:tab w:val="right" w:pos="9360" w:leader="dot"/>
      </w:tabs>
      <w:overflowPunct w:val="false"/>
      <w:spacing w:before="120" w:after="120"/>
      <w:ind w:hanging="0" w:left="0" w:right="0"/>
      <w:textAlignment w:val="auto"/>
    </w:pPr>
    <w:rPr>
      <w:rFonts w:eastAsia="MS Gothic"/>
      <w:caps/>
      <w:sz w:val="24"/>
      <w:lang w:eastAsia="ja-JP"/>
    </w:rPr>
  </w:style>
  <w:style w:type="paragraph" w:styleId="BodyText3">
    <w:name w:val="Body Text 3"/>
    <w:basedOn w:val="Normal"/>
    <w:link w:val="BodyText3Char"/>
    <w:qFormat/>
    <w:rsid w:val="001d2c1a"/>
    <w:pPr>
      <w:overflowPunct w:val="false"/>
      <w:spacing w:before="0" w:after="0"/>
      <w:jc w:val="both"/>
      <w:textAlignment w:val="auto"/>
    </w:pPr>
    <w:rPr>
      <w:rFonts w:eastAsia="MS Gothic"/>
      <w:sz w:val="24"/>
      <w:lang w:eastAsia="ja-JP"/>
    </w:rPr>
  </w:style>
  <w:style w:type="paragraph" w:styleId="TableText" w:customStyle="1">
    <w:name w:val="Table_Text"/>
    <w:basedOn w:val="Normal"/>
    <w:qFormat/>
    <w:rsid w:val="001d2c1a"/>
    <w:pPr>
      <w:keepNext w:val="true"/>
      <w:tabs>
        <w:tab w:val="clear" w:pos="567"/>
        <w:tab w:val="left" w:pos="794" w:leader="none"/>
        <w:tab w:val="left" w:pos="1191" w:leader="none"/>
        <w:tab w:val="left" w:pos="1588" w:leader="none"/>
        <w:tab w:val="left" w:pos="1985" w:leader="none"/>
      </w:tabs>
      <w:overflowPunct w:val="false"/>
      <w:spacing w:lineRule="exact" w:line="190" w:before="100" w:after="100"/>
      <w:jc w:val="both"/>
      <w:textAlignment w:val="auto"/>
    </w:pPr>
    <w:rPr>
      <w:rFonts w:eastAsia="MS Gothic"/>
      <w:sz w:val="18"/>
      <w:lang w:eastAsia="ja-JP"/>
    </w:rPr>
  </w:style>
  <w:style w:type="paragraph" w:styleId="text" w:customStyle="1">
    <w:name w:val="text"/>
    <w:basedOn w:val="Normal"/>
    <w:qFormat/>
    <w:rsid w:val="001d2c1a"/>
    <w:pPr>
      <w:overflowPunct w:val="false"/>
      <w:spacing w:before="0" w:after="240"/>
      <w:jc w:val="both"/>
      <w:textAlignment w:val="auto"/>
    </w:pPr>
    <w:rPr>
      <w:rFonts w:eastAsia="MS Gothic"/>
      <w:sz w:val="24"/>
      <w:lang w:val="en-US" w:eastAsia="ja-JP"/>
    </w:rPr>
  </w:style>
  <w:style w:type="paragraph" w:styleId="textintend1" w:customStyle="1">
    <w:name w:val="text intend 1"/>
    <w:basedOn w:val="text"/>
    <w:qFormat/>
    <w:rsid w:val="001d2c1a"/>
    <w:pPr>
      <w:numPr>
        <w:ilvl w:val="0"/>
        <w:numId w:val="4"/>
      </w:numPr>
      <w:spacing w:before="0" w:after="120"/>
    </w:pPr>
    <w:rPr/>
  </w:style>
  <w:style w:type="paragraph" w:styleId="shortcode" w:customStyle="1">
    <w:name w:val="shortcode"/>
    <w:basedOn w:val="BodyText"/>
    <w:qFormat/>
    <w:rsid w:val="001d2c1a"/>
    <w:pPr>
      <w:keepNext w:val="true"/>
      <w:tabs>
        <w:tab w:val="clear" w:pos="567"/>
        <w:tab w:val="left" w:pos="1247" w:leader="none"/>
        <w:tab w:val="left" w:pos="2552" w:leader="none"/>
        <w:tab w:val="left" w:pos="3856" w:leader="none"/>
        <w:tab w:val="left" w:pos="5216" w:leader="none"/>
        <w:tab w:val="left" w:pos="6464" w:leader="none"/>
        <w:tab w:val="left" w:pos="7768" w:leader="none"/>
        <w:tab w:val="left" w:pos="9072" w:leader="none"/>
        <w:tab w:val="left" w:pos="10206" w:leader="none"/>
      </w:tabs>
      <w:overflowPunct w:val="true"/>
      <w:spacing w:lineRule="auto" w:line="480" w:before="0" w:after="0"/>
      <w:textAlignment w:val="baseline"/>
    </w:pPr>
    <w:rPr>
      <w:rFonts w:ascii="Times" w:hAnsi="Times" w:eastAsia="Mincho"/>
    </w:rPr>
  </w:style>
  <w:style w:type="paragraph" w:styleId="RecCCITT" w:customStyle="1">
    <w:name w:val="Rec_CCITT_#"/>
    <w:basedOn w:val="Normal"/>
    <w:qFormat/>
    <w:rsid w:val="001d2c1a"/>
    <w:pPr>
      <w:keepNext w:val="true"/>
      <w:keepLines/>
      <w:overflowPunct w:val="false"/>
      <w:textAlignment w:val="auto"/>
    </w:pPr>
    <w:rPr>
      <w:rFonts w:eastAsia="MS Gothic"/>
      <w:b/>
      <w:sz w:val="24"/>
      <w:lang w:eastAsia="ja-JP"/>
    </w:rPr>
  </w:style>
  <w:style w:type="paragraph" w:styleId="BalloonText">
    <w:name w:val="Balloon Text"/>
    <w:basedOn w:val="Normal"/>
    <w:link w:val="BalloonTextChar"/>
    <w:qFormat/>
    <w:rsid w:val="001d2c1a"/>
    <w:pPr>
      <w:overflowPunct w:val="false"/>
      <w:spacing w:before="0" w:after="0"/>
      <w:textAlignment w:val="auto"/>
    </w:pPr>
    <w:rPr>
      <w:rFonts w:ascii="Arial" w:hAnsi="Arial" w:eastAsia="MS Gothic"/>
      <w:sz w:val="18"/>
      <w:lang w:eastAsia="ja-JP"/>
    </w:rPr>
  </w:style>
  <w:style w:type="paragraph" w:styleId="Reference" w:customStyle="1">
    <w:name w:val="Reference"/>
    <w:basedOn w:val="Normal"/>
    <w:qFormat/>
    <w:rsid w:val="001d2c1a"/>
    <w:pPr>
      <w:widowControl w:val="false"/>
      <w:overflowPunct w:val="false"/>
      <w:spacing w:before="0" w:after="0"/>
      <w:ind w:hanging="283" w:left="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val="false"/>
      <w:spacing w:before="0" w:after="0"/>
      <w:textAlignment w:val="auto"/>
    </w:pPr>
    <w:rPr>
      <w:rFonts w:eastAsia="MS Gothic"/>
      <w:lang w:eastAsia="ja-JP"/>
    </w:rPr>
  </w:style>
  <w:style w:type="paragraph" w:styleId="HTMLBody" w:customStyle="1">
    <w:name w:val="HTML Body"/>
    <w:qFormat/>
    <w:rsid w:val="001d2c1a"/>
    <w:pPr>
      <w:widowControl w:val="false"/>
      <w:bidi w:val="0"/>
      <w:spacing w:before="0" w:after="200" w:lineRule="auto" w:line="276"/>
      <w:jc w:val="left"/>
    </w:pPr>
    <w:rPr>
      <w:rFonts w:ascii="MS PGothic" w:hAnsi="MS PGothic" w:eastAsia="MS PGothic" w:cs="Times New Roman"/>
      <w:color w:val="auto"/>
      <w:kern w:val="0"/>
      <w:sz w:val="20"/>
      <w:szCs w:val="20"/>
      <w:lang w:val="en-US" w:eastAsia="ja-JP" w:bidi="ar-SA"/>
    </w:rPr>
  </w:style>
  <w:style w:type="paragraph" w:styleId="Normal1CharChar" w:customStyle="1">
    <w:name w:val="Normal1 Char Char"/>
    <w:qFormat/>
    <w:rsid w:val="001d2c1a"/>
    <w:pPr>
      <w:keepNext w:val="true"/>
      <w:widowControl/>
      <w:numPr>
        <w:ilvl w:val="0"/>
        <w:numId w:val="6"/>
      </w:numPr>
      <w:overflowPunct w:val="true"/>
      <w:bidi w:val="0"/>
      <w:spacing w:before="60" w:after="60" w:lineRule="auto" w:line="276"/>
      <w:jc w:val="both"/>
    </w:pPr>
    <w:rPr>
      <w:rFonts w:eastAsia="Times New Roman" w:ascii="Times New Roman" w:hAnsi="Times New Roman" w:cs="Times New Roman"/>
      <w:color w:val="auto"/>
      <w:kern w:val="2"/>
      <w:sz w:val="21"/>
      <w:szCs w:val="20"/>
      <w:lang w:val="en-GB" w:eastAsia="ja-JP" w:bidi="ar-SA"/>
    </w:rPr>
  </w:style>
  <w:style w:type="paragraph" w:styleId="annotationsubject">
    <w:name w:val="annotation subject"/>
    <w:basedOn w:val="CommentText"/>
    <w:next w:val="CommentText"/>
    <w:link w:val="CommentSubjectChar"/>
    <w:qFormat/>
    <w:rsid w:val="001d2c1a"/>
    <w:pPr/>
    <w:rPr>
      <w:b/>
      <w:sz w:val="24"/>
    </w:rPr>
  </w:style>
  <w:style w:type="paragraph" w:styleId="CharCharCharCarCarCharCharCarCar" w:customStyle="1">
    <w:name w:val="Char Char Char Car Car Char Char Car Car"/>
    <w:qFormat/>
    <w:rsid w:val="001d2c1a"/>
    <w:pPr>
      <w:keepNext w:val="true"/>
      <w:widowControl/>
      <w:tabs>
        <w:tab w:val="clear" w:pos="567"/>
        <w:tab w:val="left" w:pos="851" w:leader="none"/>
      </w:tabs>
      <w:bidi w:val="0"/>
      <w:spacing w:before="60" w:after="60" w:lineRule="auto" w:line="276"/>
      <w:ind w:hanging="851" w:left="851"/>
      <w:jc w:val="both"/>
    </w:pPr>
    <w:rPr>
      <w:rFonts w:ascii="Arial" w:hAnsi="Arial" w:eastAsia="SimSun" w:cs="Times New Roman"/>
      <w:color w:val="0000FF"/>
      <w:kern w:val="2"/>
      <w:sz w:val="20"/>
      <w:szCs w:val="20"/>
      <w:lang w:val="en-US" w:eastAsia="ja-JP" w:bidi="ar-SA"/>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semiHidden/>
    <w:qFormat/>
    <w:rsid w:val="001d2c1a"/>
    <w:pPr>
      <w:keepNext w:val="true"/>
      <w:widowControl/>
      <w:tabs>
        <w:tab w:val="clear" w:pos="567"/>
        <w:tab w:val="left" w:pos="720" w:leader="none"/>
      </w:tabs>
      <w:bidi w:val="0"/>
      <w:spacing w:before="0" w:after="200" w:lineRule="auto" w:line="276"/>
      <w:ind w:hanging="360" w:left="720"/>
      <w:jc w:val="both"/>
    </w:pPr>
    <w:rPr>
      <w:rFonts w:eastAsia="Times New Roman" w:ascii="Times New Roman" w:hAnsi="Times New Roman" w:cs="Times New Roman"/>
      <w:color w:val="auto"/>
      <w:kern w:val="2"/>
      <w:sz w:val="20"/>
      <w:szCs w:val="20"/>
      <w:lang w:val="en-GB" w:eastAsia="zh-CN" w:bidi="ar-SA"/>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semiHidden/>
    <w:qFormat/>
    <w:rsid w:val="001d2c1a"/>
    <w:pPr>
      <w:keepNext w:val="true"/>
      <w:widowControl/>
      <w:tabs>
        <w:tab w:val="clear" w:pos="567"/>
        <w:tab w:val="left" w:pos="720" w:leader="none"/>
      </w:tabs>
      <w:bidi w:val="0"/>
      <w:spacing w:before="0" w:after="200" w:lineRule="auto" w:line="276"/>
      <w:ind w:hanging="360" w:left="720"/>
      <w:jc w:val="both"/>
    </w:pPr>
    <w:rPr>
      <w:rFonts w:eastAsia="Times New Roman" w:ascii="Times New Roman" w:hAnsi="Times New Roman" w:cs="Times New Roman"/>
      <w:color w:val="auto"/>
      <w:kern w:val="2"/>
      <w:sz w:val="20"/>
      <w:szCs w:val="20"/>
      <w:lang w:val="en-GB" w:eastAsia="zh-CN" w:bidi="ar-SA"/>
    </w:rPr>
  </w:style>
  <w:style w:type="paragraph" w:styleId="CharChar1CharCharCharCharCharCharCharCharCharCharCharCharCharCharChar" w:customStyle="1">
    <w:name w:val="Char Char1 Char Char Char Char Char Char Char Char Char Char Char Char Char Char Char"/>
    <w:semiHidden/>
    <w:qFormat/>
    <w:rsid w:val="001d2c1a"/>
    <w:pPr>
      <w:keepNext w:val="true"/>
      <w:widowControl/>
      <w:tabs>
        <w:tab w:val="clear" w:pos="567"/>
        <w:tab w:val="left" w:pos="360" w:leader="none"/>
      </w:tabs>
      <w:bidi w:val="0"/>
      <w:spacing w:before="60" w:after="60" w:lineRule="auto" w:line="276"/>
      <w:ind w:hanging="360" w:left="360"/>
      <w:jc w:val="both"/>
    </w:pPr>
    <w:rPr>
      <w:rFonts w:ascii="Arial" w:hAnsi="Arial" w:eastAsia="SimSun" w:cs="Arial"/>
      <w:color w:val="0000FF"/>
      <w:kern w:val="2"/>
      <w:sz w:val="20"/>
      <w:szCs w:val="20"/>
      <w:lang w:eastAsia="zh-CN" w:val="en-US" w:bidi="ar-SA"/>
    </w:rPr>
  </w:style>
  <w:style w:type="paragraph" w:styleId="NormalWeb">
    <w:name w:val="Normal (Web)"/>
    <w:basedOn w:val="Normal"/>
    <w:uiPriority w:val="99"/>
    <w:unhideWhenUsed/>
    <w:qFormat/>
    <w:rsid w:val="001d2c1a"/>
    <w:pPr>
      <w:overflowPunct w:val="false"/>
      <w:spacing w:beforeAutospacing="1" w:afterAutospacing="1"/>
      <w:textAlignment w:val="auto"/>
    </w:pPr>
    <w:rPr>
      <w:rFonts w:ascii="MS PGothic" w:hAnsi="MS PGothic" w:eastAsia="MS PGothic" w:cs="MS PGothic"/>
      <w:sz w:val="24"/>
      <w:szCs w:val="24"/>
      <w:lang w:val="en-US" w:eastAsia="ja-JP"/>
    </w:rPr>
  </w:style>
  <w:style w:type="paragraph" w:styleId="81" w:customStyle="1">
    <w:name w:val="表 (赤)  81"/>
    <w:basedOn w:val="Normal"/>
    <w:uiPriority w:val="34"/>
    <w:qFormat/>
    <w:rsid w:val="001d2c1a"/>
    <w:pPr>
      <w:overflowPunct w:val="false"/>
      <w:spacing w:before="0" w:after="0"/>
      <w:ind w:left="840"/>
      <w:textAlignment w:val="auto"/>
    </w:pPr>
    <w:rPr>
      <w:rFonts w:ascii="MS PGothic" w:hAnsi="MS PGothic" w:eastAsia="MS PGothic" w:cs="MS PGothic"/>
      <w:sz w:val="24"/>
      <w:szCs w:val="24"/>
      <w:lang w:val="en-US" w:eastAsia="ja-JP"/>
    </w:rPr>
  </w:style>
  <w:style w:type="paragraph" w:styleId="71" w:customStyle="1">
    <w:name w:val="表 (赤)  71"/>
    <w:uiPriority w:val="99"/>
    <w:semiHidden/>
    <w:qFormat/>
    <w:rsid w:val="001d2c1a"/>
    <w:pPr>
      <w:widowControl/>
      <w:bidi w:val="0"/>
      <w:spacing w:before="0" w:after="200" w:lineRule="auto" w:line="276"/>
      <w:jc w:val="left"/>
    </w:pPr>
    <w:rPr>
      <w:rFonts w:eastAsia="MS Gothic" w:ascii="Times New Roman" w:hAnsi="Times New Roman" w:cs="Times New Roman"/>
      <w:color w:val="auto"/>
      <w:kern w:val="0"/>
      <w:sz w:val="24"/>
      <w:szCs w:val="20"/>
      <w:lang w:val="en-GB" w:eastAsia="ja-JP" w:bidi="ar-SA"/>
    </w:rPr>
  </w:style>
  <w:style w:type="paragraph" w:styleId="Revision">
    <w:name w:val="Revision"/>
    <w:uiPriority w:val="99"/>
    <w:semiHidden/>
    <w:qFormat/>
    <w:rsid w:val="001d2c1a"/>
    <w:pPr>
      <w:widowControl/>
      <w:bidi w:val="0"/>
      <w:spacing w:before="0" w:after="200" w:lineRule="auto" w:line="276"/>
      <w:jc w:val="left"/>
    </w:pPr>
    <w:rPr>
      <w:rFonts w:eastAsia="MS Gothic" w:ascii="Times New Roman" w:hAnsi="Times New Roman" w:cs="Times New Roman"/>
      <w:color w:val="auto"/>
      <w:kern w:val="0"/>
      <w:sz w:val="24"/>
      <w:szCs w:val="20"/>
      <w:lang w:val="en-GB" w:eastAsia="ja-JP" w:bidi="ar-SA"/>
    </w:rPr>
  </w:style>
  <w:style w:type="paragraph" w:styleId="Doc-title" w:customStyle="1">
    <w:name w:val="Doc-title"/>
    <w:basedOn w:val="Normal"/>
    <w:next w:val="Doc-text2"/>
    <w:link w:val="Doc-titleChar"/>
    <w:qFormat/>
    <w:rsid w:val="001d2c1a"/>
    <w:pPr>
      <w:overflowPunct w:val="false"/>
      <w:spacing w:before="0" w:after="0"/>
      <w:ind w:hanging="1260" w:left="1260"/>
      <w:textAlignment w:val="auto"/>
    </w:pPr>
    <w:rPr>
      <w:rFonts w:ascii="Arial" w:hAnsi="Arial"/>
      <w:szCs w:val="24"/>
    </w:rPr>
  </w:style>
  <w:style w:type="paragraph" w:styleId="Doc-text2" w:customStyle="1">
    <w:name w:val="Doc-text2"/>
    <w:basedOn w:val="Normal"/>
    <w:link w:val="Doc-text2Char"/>
    <w:qFormat/>
    <w:rsid w:val="001d2c1a"/>
    <w:pPr>
      <w:tabs>
        <w:tab w:val="clear" w:pos="567"/>
        <w:tab w:val="left" w:pos="1622" w:leader="none"/>
      </w:tabs>
      <w:overflowPunct w:val="false"/>
      <w:spacing w:before="0" w:after="0"/>
      <w:ind w:hanging="363" w:left="1622"/>
      <w:textAlignment w:val="auto"/>
    </w:pPr>
    <w:rPr>
      <w:rFonts w:ascii="Arial" w:hAnsi="Arial"/>
      <w:szCs w:val="24"/>
    </w:rPr>
  </w:style>
  <w:style w:type="paragraph" w:styleId="ListParagraph">
    <w:name w:val="List Paragraph"/>
    <w:basedOn w:val="Normal"/>
    <w:link w:val="ListParagraphChar"/>
    <w:uiPriority w:val="34"/>
    <w:qFormat/>
    <w:rsid w:val="001d2c1a"/>
    <w:pPr>
      <w:widowControl w:val="false"/>
      <w:overflowPunct w:val="false"/>
      <w:spacing w:before="0" w:after="0"/>
      <w:ind w:left="840"/>
      <w:jc w:val="both"/>
      <w:textAlignment w:val="auto"/>
    </w:pPr>
    <w:rPr>
      <w:rFonts w:ascii="Century" w:hAnsi="Century"/>
      <w:kern w:val="2"/>
      <w:sz w:val="21"/>
      <w:szCs w:val="22"/>
      <w:lang w:val="en-US" w:eastAsia="ja-JP"/>
    </w:rPr>
  </w:style>
  <w:style w:type="paragraph" w:styleId="maintext" w:customStyle="1">
    <w:name w:val="main text"/>
    <w:basedOn w:val="Normal"/>
    <w:link w:val="maintextChar"/>
    <w:qFormat/>
    <w:rsid w:val="001d2c1a"/>
    <w:pPr>
      <w:overflowPunct w:val="false"/>
      <w:spacing w:lineRule="auto" w:line="288" w:before="60" w:after="60"/>
      <w:jc w:val="both"/>
      <w:textAlignment w:val="auto"/>
    </w:pPr>
    <w:rPr>
      <w:rFonts w:ascii="Calibri" w:hAnsi="Calibri" w:eastAsia="Malgun Gothic" w:cs="Batang"/>
      <w:lang w:eastAsia="ko-KR"/>
    </w:rPr>
  </w:style>
  <w:style w:type="paragraph" w:styleId="2222" w:customStyle="1">
    <w:name w:val="스타일 스타일 스타일 스타일 양쪽 첫 줄:  2 글자 + 첫 줄:  2 글자 + 첫 줄:  2 글자 + 첫 줄:  2..."/>
    <w:basedOn w:val="Normal"/>
    <w:link w:val="2222Char"/>
    <w:qFormat/>
    <w:rsid w:val="001d2c1a"/>
    <w:pPr>
      <w:overflowPunct w:val="false"/>
      <w:spacing w:lineRule="auto" w:line="336"/>
      <w:ind w:firstLine="200"/>
      <w:jc w:val="both"/>
      <w:textAlignment w:val="auto"/>
    </w:pPr>
    <w:rPr>
      <w:rFonts w:eastAsia="Malgun Gothic" w:cs="Batang"/>
    </w:rPr>
  </w:style>
  <w:style w:type="paragraph" w:styleId="CRCoverPage" w:customStyle="1">
    <w:name w:val="CR Cover Page"/>
    <w:qFormat/>
    <w:rsid w:val="001d2c1a"/>
    <w:pPr>
      <w:widowControl/>
      <w:bidi w:val="0"/>
      <w:spacing w:before="0" w:after="120" w:lineRule="auto" w:line="276"/>
      <w:jc w:val="left"/>
    </w:pPr>
    <w:rPr>
      <w:rFonts w:ascii="Arial" w:hAnsi="Arial" w:eastAsia="SimSun" w:cs="Times New Roman"/>
      <w:color w:val="auto"/>
      <w:kern w:val="0"/>
      <w:sz w:val="20"/>
      <w:szCs w:val="20"/>
      <w:lang w:val="en-GB" w:eastAsia="en-US" w:bidi="ar-SA"/>
    </w:rPr>
  </w:style>
  <w:style w:type="paragraph" w:styleId="Tabletext1" w:customStyle="1">
    <w:name w:val="Table_text1"/>
    <w:basedOn w:val="Normal"/>
    <w:qFormat/>
    <w:rsid w:val="001d2c1a"/>
    <w:pPr>
      <w:tabs>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2835" w:leader="none"/>
        <w:tab w:val="left" w:pos="3119" w:leader="none"/>
        <w:tab w:val="left" w:pos="3402" w:leader="none"/>
        <w:tab w:val="left" w:pos="3686" w:leader="none"/>
        <w:tab w:val="left" w:pos="3969" w:leader="none"/>
      </w:tabs>
      <w:spacing w:before="40" w:after="40"/>
      <w:jc w:val="both"/>
    </w:pPr>
    <w:rPr>
      <w:rFonts w:eastAsia="SimSun"/>
      <w:sz w:val="22"/>
      <w:lang w:val="fr-FR"/>
    </w:rPr>
  </w:style>
  <w:style w:type="paragraph" w:styleId="Tablehead" w:customStyle="1">
    <w:name w:val="Table_head"/>
    <w:basedOn w:val="Tabletext1"/>
    <w:next w:val="Tabletext1"/>
    <w:qFormat/>
    <w:rsid w:val="001d2c1a"/>
    <w:pPr>
      <w:keepNext w:val="true"/>
      <w:spacing w:before="80" w:after="80"/>
      <w:jc w:val="center"/>
    </w:pPr>
    <w:rPr>
      <w:b/>
    </w:rPr>
  </w:style>
  <w:style w:type="paragraph" w:styleId="TableText2" w:customStyle="1">
    <w:name w:val="TableText"/>
    <w:basedOn w:val="BodyTextIndent"/>
    <w:qFormat/>
    <w:rsid w:val="001d2c1a"/>
    <w:pPr>
      <w:widowControl w:val="false"/>
      <w:overflowPunct w:val="true"/>
      <w:snapToGrid w:val="false"/>
      <w:spacing w:before="0" w:after="180"/>
      <w:ind w:left="210"/>
      <w:jc w:val="both"/>
    </w:pPr>
    <w:rPr>
      <w:rFonts w:eastAsia="Times New Roman"/>
      <w:kern w:val="2"/>
      <w:sz w:val="21"/>
      <w:lang w:eastAsia="en-U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qFormat/>
    <w:rsid w:val="00d45b2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
</Relationships>
</file>

<file path=word/theme/theme1.xml><?xml version="1.0" encoding="utf-8"?>
<a:theme xmlns:a="http://schemas.openxmlformats.org/drawingml/2006/main" xmlns:r="http://schemas.openxmlformats.org/officeDocument/2006/relationships" name="Office テーマ">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itchFamily="0" charset="1"/>
        <a:ea typeface=""/>
        <a:cs typeface=""/>
      </a:majorFont>
      <a:minorFont>
        <a:latin typeface="游明朝"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D731F-19E6-4CB6-A422-24A1A00279B5}">
  <ds:schemaRefs>
    <ds:schemaRef ds:uri="http://schemas.microsoft.com/sharepoint/v3/contenttype/forms"/>
  </ds:schemaRefs>
</ds:datastoreItem>
</file>

<file path=customXml/itemProps2.xml><?xml version="1.0" encoding="utf-8"?>
<ds:datastoreItem xmlns:ds="http://schemas.openxmlformats.org/officeDocument/2006/customXml" ds:itemID="{8957E042-5BDC-4A43-809E-D8035B669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Application>LibreOffice/24.8.3.2$MacOSX_AARCH64 LibreOffice_project/48a6bac9e7e268aeb4c3483fcf825c94556d9f92</Application>
  <AppVersion>15.0000</AppVersion>
  <Pages>7</Pages>
  <Words>1401</Words>
  <Characters>7651</Characters>
  <CharactersWithSpaces>8795</CharactersWithSpaces>
  <Paragraphs>275</Paragraphs>
  <Company>株式会社エヌ・ティ・ティ・ドコモ</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dc:description/>
  <dc:language>en-GB</dc:language>
  <cp:lastModifiedBy/>
  <dcterms:modified xsi:type="dcterms:W3CDTF">2024-12-03T20:27:30Z</dcterms:modified>
  <cp:revision>60</cp:revision>
  <dc:subject/>
  <dc:title>Status Report to TSG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Application">
    <vt:lpwstr>Microsoft Azure Information Protection</vt:lpwstr>
  </property>
  <property fmtid="{D5CDD505-2E9C-101B-9397-08002B2CF9AE}" pid="3" name="MSIP_Label_b1aa2129-79ec-42c0-bfac-e5b7a0374572_Enabled">
    <vt:lpwstr>True</vt:lpwstr>
  </property>
  <property fmtid="{D5CDD505-2E9C-101B-9397-08002B2CF9AE}" pid="4" name="MSIP_Label_b1aa2129-79ec-42c0-bfac-e5b7a0374572_Extended_MSFT_Method">
    <vt:lpwstr>Manual</vt:lpwstr>
  </property>
  <property fmtid="{D5CDD505-2E9C-101B-9397-08002B2CF9AE}" pid="5" name="MSIP_Label_b1aa2129-79ec-42c0-bfac-e5b7a0374572_Name">
    <vt:lpwstr>Public</vt:lpwstr>
  </property>
  <property fmtid="{D5CDD505-2E9C-101B-9397-08002B2CF9AE}" pid="6" name="MSIP_Label_b1aa2129-79ec-42c0-bfac-e5b7a0374572_Owner">
    <vt:lpwstr>balazs.bertenyi@nokia.com</vt:lpwstr>
  </property>
  <property fmtid="{D5CDD505-2E9C-101B-9397-08002B2CF9AE}" pid="7" name="MSIP_Label_b1aa2129-79ec-42c0-bfac-e5b7a0374572_SetDate">
    <vt:lpwstr>2018-11-20T14:43:21.7174018Z</vt:lpwstr>
  </property>
  <property fmtid="{D5CDD505-2E9C-101B-9397-08002B2CF9AE}" pid="8" name="MSIP_Label_b1aa2129-79ec-42c0-bfac-e5b7a0374572_SiteId">
    <vt:lpwstr>5d471751-9675-428d-917b-70f44f9630b0</vt:lpwstr>
  </property>
  <property fmtid="{D5CDD505-2E9C-101B-9397-08002B2CF9AE}" pid="9" name="Sensitivity">
    <vt:lpwstr>Public</vt:lpwstr>
  </property>
</Properties>
</file>